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329" w:type="dxa"/>
        <w:tblLook w:val="04A0"/>
      </w:tblPr>
      <w:tblGrid>
        <w:gridCol w:w="8833"/>
      </w:tblGrid>
      <w:tr w:rsidR="00A54EDE" w:rsidTr="00A54EDE">
        <w:trPr>
          <w:tblCellSpacing w:w="15" w:type="dxa"/>
        </w:trPr>
        <w:tc>
          <w:tcPr>
            <w:tcW w:w="8773" w:type="dxa"/>
            <w:shd w:val="clear" w:color="auto" w:fill="auto"/>
            <w:tcMar>
              <w:top w:w="15" w:type="dxa"/>
              <w:left w:w="15" w:type="dxa"/>
              <w:bottom w:w="15" w:type="dxa"/>
              <w:right w:w="15" w:type="dxa"/>
            </w:tcMar>
            <w:vAlign w:val="center"/>
          </w:tcPr>
          <w:p w:rsidR="00A54EDE" w:rsidRPr="00A54EDE" w:rsidRDefault="00A54EDE" w:rsidP="00FB5416">
            <w:pPr>
              <w:rPr>
                <w:rFonts w:ascii="Arial" w:hAnsi="Arial" w:cs="Arial"/>
                <w:sz w:val="20"/>
                <w:szCs w:val="20"/>
              </w:rPr>
            </w:pPr>
            <w:r w:rsidRPr="00A54EDE">
              <w:rPr>
                <w:rFonts w:ascii="Arial" w:hAnsi="Arial" w:cs="Arial"/>
                <w:noProof/>
                <w:sz w:val="20"/>
                <w:szCs w:val="20"/>
              </w:rPr>
              <w:drawing>
                <wp:inline distT="0" distB="0" distL="0" distR="0">
                  <wp:extent cx="5753100" cy="1257300"/>
                  <wp:effectExtent l="19050" t="0" r="0" b="0"/>
                  <wp:docPr id="3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5"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A54EDE">
              <w:rPr>
                <w:rFonts w:ascii="Arial" w:hAnsi="Arial" w:cs="Arial"/>
                <w:sz w:val="20"/>
                <w:szCs w:val="20"/>
              </w:rPr>
              <w:t>Název školy:      Střední průmyslová škola, Ostrava - Vítkovice, příspěvková organizace</w:t>
            </w:r>
          </w:p>
          <w:p w:rsidR="00A54EDE" w:rsidRPr="00A54EDE" w:rsidRDefault="00A54EDE" w:rsidP="00FB5416">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 </w:t>
            </w:r>
            <w:r w:rsidRPr="00A54EDE">
              <w:rPr>
                <w:rFonts w:ascii="Arial" w:hAnsi="Arial" w:cs="Arial"/>
                <w:sz w:val="20"/>
                <w:szCs w:val="20"/>
              </w:rPr>
              <w:t xml:space="preserve">Ing. Vlasta Švachová </w:t>
            </w:r>
          </w:p>
          <w:p w:rsidR="00A54EDE" w:rsidRPr="00A54EDE" w:rsidRDefault="00A54EDE" w:rsidP="00FB5416">
            <w:pPr>
              <w:rPr>
                <w:rFonts w:ascii="Arial" w:hAnsi="Arial" w:cs="Arial"/>
                <w:sz w:val="20"/>
                <w:szCs w:val="20"/>
              </w:rPr>
            </w:pPr>
            <w:r w:rsidRPr="00A54EDE">
              <w:rPr>
                <w:rFonts w:ascii="Arial" w:hAnsi="Arial" w:cs="Arial"/>
                <w:sz w:val="20"/>
                <w:szCs w:val="20"/>
              </w:rPr>
              <w:t xml:space="preserve">Datum: </w:t>
            </w:r>
            <w:r w:rsidRPr="00A54EDE">
              <w:rPr>
                <w:rFonts w:ascii="Arial" w:hAnsi="Arial" w:cs="Arial"/>
                <w:sz w:val="20"/>
                <w:szCs w:val="20"/>
              </w:rPr>
              <w:tab/>
              <w:t xml:space="preserve">             </w:t>
            </w:r>
            <w:r w:rsidR="00F76A00">
              <w:rPr>
                <w:rFonts w:ascii="Arial" w:hAnsi="Arial" w:cs="Arial"/>
                <w:sz w:val="20"/>
                <w:szCs w:val="20"/>
              </w:rPr>
              <w:t>7</w:t>
            </w:r>
            <w:r w:rsidRPr="00A54EDE">
              <w:rPr>
                <w:rFonts w:ascii="Arial" w:hAnsi="Arial" w:cs="Arial"/>
                <w:sz w:val="20"/>
                <w:szCs w:val="20"/>
              </w:rPr>
              <w:t>. 6. 2012</w:t>
            </w:r>
          </w:p>
          <w:p w:rsidR="00A54EDE" w:rsidRPr="00A54EDE" w:rsidRDefault="00A54EDE" w:rsidP="00FB5416">
            <w:pPr>
              <w:rPr>
                <w:rFonts w:ascii="Arial" w:hAnsi="Arial" w:cs="Arial"/>
                <w:sz w:val="20"/>
                <w:szCs w:val="20"/>
              </w:rPr>
            </w:pPr>
            <w:r w:rsidRPr="00A54EDE">
              <w:rPr>
                <w:rFonts w:ascii="Arial" w:hAnsi="Arial" w:cs="Arial"/>
                <w:sz w:val="20"/>
                <w:szCs w:val="20"/>
              </w:rPr>
              <w:t xml:space="preserve">Název: </w:t>
            </w:r>
            <w:r w:rsidRPr="00A54EDE">
              <w:rPr>
                <w:rFonts w:ascii="Arial" w:hAnsi="Arial" w:cs="Arial"/>
                <w:sz w:val="20"/>
                <w:szCs w:val="20"/>
              </w:rPr>
              <w:tab/>
              <w:t xml:space="preserve">             VY_32_INOVACE_9.3.10</w:t>
            </w:r>
          </w:p>
          <w:p w:rsidR="00A54EDE" w:rsidRPr="00A54EDE" w:rsidRDefault="00A54EDE" w:rsidP="00FB5416">
            <w:pPr>
              <w:rPr>
                <w:rFonts w:ascii="Arial" w:hAnsi="Arial" w:cs="Arial"/>
                <w:sz w:val="20"/>
                <w:szCs w:val="20"/>
              </w:rPr>
            </w:pPr>
            <w:r w:rsidRPr="00A54EDE">
              <w:rPr>
                <w:rFonts w:ascii="Arial" w:hAnsi="Arial" w:cs="Arial"/>
                <w:sz w:val="20"/>
                <w:szCs w:val="20"/>
              </w:rPr>
              <w:t xml:space="preserve">Číslo projektu: </w:t>
            </w:r>
            <w:r w:rsidRPr="00A54EDE">
              <w:rPr>
                <w:rFonts w:ascii="Arial" w:hAnsi="Arial" w:cs="Arial"/>
                <w:sz w:val="20"/>
                <w:szCs w:val="20"/>
              </w:rPr>
              <w:tab/>
              <w:t>CZ.1.07/1.5.00/34.0125</w:t>
            </w:r>
          </w:p>
          <w:p w:rsidR="00A54EDE" w:rsidRPr="00A54EDE" w:rsidRDefault="00A54EDE" w:rsidP="00FB5416">
            <w:pPr>
              <w:rPr>
                <w:rFonts w:ascii="Arial" w:hAnsi="Arial" w:cs="Arial"/>
                <w:sz w:val="20"/>
                <w:szCs w:val="20"/>
              </w:rPr>
            </w:pPr>
            <w:r w:rsidRPr="00A54EDE">
              <w:rPr>
                <w:rFonts w:ascii="Arial" w:hAnsi="Arial" w:cs="Arial"/>
                <w:sz w:val="20"/>
                <w:szCs w:val="20"/>
              </w:rPr>
              <w:t xml:space="preserve">Téma:  </w:t>
            </w:r>
            <w:r w:rsidRPr="00A54EDE">
              <w:rPr>
                <w:rFonts w:ascii="Arial" w:hAnsi="Arial" w:cs="Arial"/>
                <w:sz w:val="20"/>
                <w:szCs w:val="20"/>
              </w:rPr>
              <w:tab/>
            </w:r>
            <w:r w:rsidRPr="00A54EDE">
              <w:rPr>
                <w:rFonts w:ascii="Arial" w:hAnsi="Arial" w:cs="Arial"/>
                <w:sz w:val="20"/>
                <w:szCs w:val="20"/>
              </w:rPr>
              <w:tab/>
            </w:r>
            <w:r w:rsidRPr="00A54EDE">
              <w:rPr>
                <w:rFonts w:ascii="Arial" w:hAnsi="Arial" w:cs="Arial"/>
                <w:b/>
                <w:sz w:val="20"/>
                <w:szCs w:val="20"/>
              </w:rPr>
              <w:t>Akciová společnost – pracovní list</w:t>
            </w:r>
            <w:r w:rsidRPr="00A54EDE">
              <w:rPr>
                <w:rFonts w:ascii="Arial" w:hAnsi="Arial" w:cs="Arial"/>
                <w:sz w:val="20"/>
                <w:szCs w:val="20"/>
              </w:rPr>
              <w:t xml:space="preserve"> </w:t>
            </w:r>
          </w:p>
          <w:p w:rsidR="00A54EDE" w:rsidRPr="00A54EDE" w:rsidRDefault="00A54EDE" w:rsidP="00FB5416">
            <w:pPr>
              <w:spacing w:after="0" w:line="360" w:lineRule="auto"/>
              <w:rPr>
                <w:rFonts w:ascii="Arial" w:hAnsi="Arial" w:cs="Arial"/>
                <w:sz w:val="20"/>
                <w:szCs w:val="20"/>
              </w:rPr>
            </w:pPr>
            <w:r>
              <w:rPr>
                <w:rFonts w:ascii="Arial" w:hAnsi="Arial" w:cs="Arial"/>
                <w:sz w:val="20"/>
                <w:szCs w:val="20"/>
              </w:rPr>
              <w:t xml:space="preserve">Anotace:           </w:t>
            </w:r>
            <w:r w:rsidRPr="00A54EDE">
              <w:rPr>
                <w:rFonts w:ascii="Arial" w:hAnsi="Arial" w:cs="Arial"/>
                <w:sz w:val="20"/>
                <w:szCs w:val="20"/>
              </w:rPr>
              <w:t xml:space="preserve">Pracovní list slouží k pochopení podstaty kapitálové společnosti – a.s.                          </w:t>
            </w:r>
          </w:p>
          <w:p w:rsidR="00A54EDE" w:rsidRPr="00A54EDE" w:rsidRDefault="00A54EDE" w:rsidP="00FB5416">
            <w:pPr>
              <w:spacing w:after="0" w:line="360" w:lineRule="auto"/>
              <w:rPr>
                <w:rFonts w:ascii="Arial" w:hAnsi="Arial" w:cs="Arial"/>
                <w:sz w:val="20"/>
                <w:szCs w:val="20"/>
              </w:rPr>
            </w:pPr>
            <w:r w:rsidRPr="00A54EDE">
              <w:rPr>
                <w:rFonts w:ascii="Arial" w:hAnsi="Arial" w:cs="Arial"/>
                <w:sz w:val="20"/>
                <w:szCs w:val="20"/>
              </w:rPr>
              <w:t xml:space="preserve">                         Žáci s interaktivně, ústně i písemně procvičují dané učivo.</w:t>
            </w:r>
          </w:p>
          <w:p w:rsidR="00A54EDE" w:rsidRPr="00A54EDE" w:rsidRDefault="00A54EDE" w:rsidP="00FB5416">
            <w:pPr>
              <w:spacing w:after="0" w:line="360" w:lineRule="auto"/>
              <w:rPr>
                <w:rFonts w:ascii="Arial" w:hAnsi="Arial" w:cs="Arial"/>
                <w:sz w:val="20"/>
                <w:szCs w:val="20"/>
              </w:rPr>
            </w:pPr>
          </w:p>
          <w:p w:rsidR="00A54EDE" w:rsidRPr="00A54EDE" w:rsidRDefault="00A54EDE" w:rsidP="00FB5416">
            <w:pPr>
              <w:rPr>
                <w:rFonts w:ascii="Arial" w:hAnsi="Arial" w:cs="Arial"/>
                <w:b/>
                <w:sz w:val="20"/>
                <w:szCs w:val="20"/>
              </w:rPr>
            </w:pPr>
            <w:r w:rsidRPr="00A54EDE">
              <w:rPr>
                <w:rFonts w:ascii="Arial" w:hAnsi="Arial" w:cs="Arial"/>
                <w:b/>
                <w:sz w:val="20"/>
                <w:szCs w:val="20"/>
              </w:rPr>
              <w:t>Charakteristika akciové společnosti:</w:t>
            </w:r>
          </w:p>
          <w:p w:rsidR="00A54EDE" w:rsidRPr="00A54EDE" w:rsidRDefault="00A54EDE" w:rsidP="00A54EDE">
            <w:pPr>
              <w:pStyle w:val="Odstavecseseznamem"/>
              <w:numPr>
                <w:ilvl w:val="0"/>
                <w:numId w:val="1"/>
              </w:numPr>
              <w:spacing w:after="0" w:line="360" w:lineRule="auto"/>
              <w:rPr>
                <w:rFonts w:ascii="Arial" w:hAnsi="Arial" w:cs="Arial"/>
                <w:sz w:val="20"/>
                <w:szCs w:val="20"/>
              </w:rPr>
            </w:pPr>
            <w:r w:rsidRPr="00A54EDE">
              <w:rPr>
                <w:rFonts w:ascii="Arial" w:hAnsi="Arial" w:cs="Arial"/>
                <w:sz w:val="20"/>
                <w:szCs w:val="20"/>
              </w:rPr>
              <w:t>nejméně 2 společníci,</w:t>
            </w:r>
          </w:p>
          <w:p w:rsidR="00A54EDE" w:rsidRPr="00A54EDE" w:rsidRDefault="00A54EDE" w:rsidP="00A54EDE">
            <w:pPr>
              <w:pStyle w:val="Odstavecseseznamem"/>
              <w:numPr>
                <w:ilvl w:val="0"/>
                <w:numId w:val="1"/>
              </w:numPr>
              <w:spacing w:after="0" w:line="360" w:lineRule="auto"/>
              <w:rPr>
                <w:rFonts w:ascii="Arial" w:hAnsi="Arial" w:cs="Arial"/>
                <w:sz w:val="20"/>
                <w:szCs w:val="20"/>
              </w:rPr>
            </w:pPr>
            <w:r w:rsidRPr="00A54EDE">
              <w:rPr>
                <w:rFonts w:ascii="Arial" w:hAnsi="Arial" w:cs="Arial"/>
                <w:sz w:val="20"/>
                <w:szCs w:val="20"/>
              </w:rPr>
              <w:t xml:space="preserve">povinný vklad Kč 2 000 </w:t>
            </w:r>
            <w:proofErr w:type="spellStart"/>
            <w:r w:rsidRPr="00A54EDE">
              <w:rPr>
                <w:rFonts w:ascii="Arial" w:hAnsi="Arial" w:cs="Arial"/>
                <w:sz w:val="20"/>
                <w:szCs w:val="20"/>
              </w:rPr>
              <w:t>000</w:t>
            </w:r>
            <w:proofErr w:type="spellEnd"/>
            <w:r w:rsidRPr="00A54EDE">
              <w:rPr>
                <w:rFonts w:ascii="Arial" w:hAnsi="Arial" w:cs="Arial"/>
                <w:sz w:val="20"/>
                <w:szCs w:val="20"/>
              </w:rPr>
              <w:t>,-,</w:t>
            </w:r>
          </w:p>
          <w:p w:rsidR="00A54EDE" w:rsidRPr="00A54EDE" w:rsidRDefault="00A54EDE" w:rsidP="00A54EDE">
            <w:pPr>
              <w:pStyle w:val="Odstavecseseznamem"/>
              <w:numPr>
                <w:ilvl w:val="0"/>
                <w:numId w:val="1"/>
              </w:numPr>
              <w:spacing w:after="0" w:line="360" w:lineRule="auto"/>
              <w:rPr>
                <w:rFonts w:ascii="Arial" w:hAnsi="Arial" w:cs="Arial"/>
                <w:sz w:val="20"/>
                <w:szCs w:val="20"/>
              </w:rPr>
            </w:pPr>
            <w:r w:rsidRPr="00A54EDE">
              <w:rPr>
                <w:rFonts w:ascii="Arial" w:hAnsi="Arial" w:cs="Arial"/>
                <w:sz w:val="20"/>
                <w:szCs w:val="20"/>
              </w:rPr>
              <w:t>ručení společníků žádné, ručí pouze společnost,</w:t>
            </w:r>
          </w:p>
          <w:p w:rsidR="00A54EDE" w:rsidRPr="00A54EDE" w:rsidRDefault="00A54EDE" w:rsidP="00A54EDE">
            <w:pPr>
              <w:pStyle w:val="Odstavecseseznamem"/>
              <w:numPr>
                <w:ilvl w:val="0"/>
                <w:numId w:val="1"/>
              </w:numPr>
              <w:spacing w:after="0" w:line="360" w:lineRule="auto"/>
              <w:rPr>
                <w:rFonts w:ascii="Arial" w:hAnsi="Arial" w:cs="Arial"/>
                <w:sz w:val="20"/>
                <w:szCs w:val="20"/>
              </w:rPr>
            </w:pPr>
            <w:r w:rsidRPr="00A54EDE">
              <w:rPr>
                <w:rFonts w:ascii="Arial" w:hAnsi="Arial" w:cs="Arial"/>
                <w:sz w:val="20"/>
                <w:szCs w:val="20"/>
              </w:rPr>
              <w:t>řízení je v rukou valné hromady,</w:t>
            </w:r>
          </w:p>
          <w:p w:rsidR="00A54EDE" w:rsidRPr="00A54EDE" w:rsidRDefault="00A54EDE" w:rsidP="00A54EDE">
            <w:pPr>
              <w:pStyle w:val="Odstavecseseznamem"/>
              <w:numPr>
                <w:ilvl w:val="0"/>
                <w:numId w:val="1"/>
              </w:numPr>
              <w:spacing w:after="0" w:line="360" w:lineRule="auto"/>
              <w:rPr>
                <w:rFonts w:ascii="Arial" w:hAnsi="Arial" w:cs="Arial"/>
                <w:sz w:val="20"/>
                <w:szCs w:val="20"/>
              </w:rPr>
            </w:pPr>
            <w:r w:rsidRPr="00A54EDE">
              <w:rPr>
                <w:rFonts w:ascii="Arial" w:hAnsi="Arial" w:cs="Arial"/>
                <w:sz w:val="20"/>
                <w:szCs w:val="20"/>
              </w:rPr>
              <w:t>akcionáři mají nárok na podíl na zisku.</w:t>
            </w:r>
          </w:p>
          <w:p w:rsidR="00A54EDE" w:rsidRPr="00A54EDE" w:rsidRDefault="00A54EDE" w:rsidP="00FB5416">
            <w:pPr>
              <w:jc w:val="both"/>
              <w:rPr>
                <w:rFonts w:ascii="Arial" w:hAnsi="Arial" w:cs="Arial"/>
                <w:sz w:val="20"/>
                <w:szCs w:val="20"/>
              </w:rPr>
            </w:pPr>
            <w:r w:rsidRPr="00A54EDE">
              <w:rPr>
                <w:rFonts w:ascii="Arial" w:hAnsi="Arial" w:cs="Arial"/>
                <w:sz w:val="20"/>
                <w:szCs w:val="20"/>
              </w:rPr>
              <w:t>Akciová společnost získává svůj majetek vydáním akcií.</w:t>
            </w:r>
          </w:p>
          <w:p w:rsidR="00A54EDE" w:rsidRPr="00A54EDE" w:rsidRDefault="00A54EDE" w:rsidP="00FB5416">
            <w:pPr>
              <w:spacing w:line="360" w:lineRule="auto"/>
              <w:jc w:val="both"/>
              <w:rPr>
                <w:rFonts w:ascii="Arial" w:hAnsi="Arial" w:cs="Arial"/>
                <w:sz w:val="20"/>
                <w:szCs w:val="20"/>
              </w:rPr>
            </w:pPr>
            <w:r w:rsidRPr="00A54EDE">
              <w:rPr>
                <w:rFonts w:ascii="Arial" w:hAnsi="Arial" w:cs="Arial"/>
                <w:b/>
                <w:bCs/>
                <w:sz w:val="20"/>
                <w:szCs w:val="20"/>
              </w:rPr>
              <w:t>Akcie</w:t>
            </w:r>
            <w:r w:rsidRPr="00A54EDE">
              <w:rPr>
                <w:rFonts w:ascii="Arial" w:hAnsi="Arial" w:cs="Arial"/>
                <w:sz w:val="20"/>
                <w:szCs w:val="20"/>
              </w:rPr>
              <w:t xml:space="preserve"> je cenný papír, který dává právo akcionáři podílet se na řízení společnosti a na zisku, rozdělování majetku při zániku spol.</w:t>
            </w:r>
          </w:p>
          <w:p w:rsidR="00A54EDE" w:rsidRPr="00A54EDE" w:rsidRDefault="00A54EDE" w:rsidP="00FB5416">
            <w:pPr>
              <w:spacing w:line="360" w:lineRule="auto"/>
              <w:jc w:val="both"/>
              <w:rPr>
                <w:rFonts w:ascii="Arial" w:hAnsi="Arial" w:cs="Arial"/>
                <w:sz w:val="20"/>
                <w:szCs w:val="20"/>
              </w:rPr>
            </w:pPr>
            <w:r w:rsidRPr="00A54EDE">
              <w:rPr>
                <w:rFonts w:ascii="Arial" w:hAnsi="Arial" w:cs="Arial"/>
                <w:sz w:val="20"/>
                <w:szCs w:val="20"/>
              </w:rPr>
              <w:t>Práva akcionáře:</w:t>
            </w:r>
          </w:p>
          <w:p w:rsidR="00A54EDE" w:rsidRPr="00A54EDE" w:rsidRDefault="00A54EDE" w:rsidP="00FB5416">
            <w:pPr>
              <w:spacing w:after="0" w:line="360" w:lineRule="auto"/>
              <w:rPr>
                <w:rFonts w:ascii="Arial" w:hAnsi="Arial" w:cs="Arial"/>
                <w:b/>
                <w:bCs/>
                <w:sz w:val="20"/>
                <w:szCs w:val="20"/>
              </w:rPr>
            </w:pPr>
            <w:r w:rsidRPr="00A54EDE">
              <w:rPr>
                <w:rFonts w:ascii="Arial" w:hAnsi="Arial" w:cs="Arial"/>
                <w:bCs/>
                <w:sz w:val="20"/>
                <w:szCs w:val="20"/>
              </w:rPr>
              <w:t>1)</w:t>
            </w:r>
            <w:r w:rsidRPr="00A54EDE">
              <w:rPr>
                <w:rFonts w:ascii="Arial" w:hAnsi="Arial" w:cs="Arial"/>
                <w:b/>
                <w:bCs/>
                <w:sz w:val="20"/>
                <w:szCs w:val="20"/>
              </w:rPr>
              <w:t> podílet se na zisku</w:t>
            </w:r>
            <w:r w:rsidRPr="00A54EDE">
              <w:rPr>
                <w:rFonts w:ascii="Arial" w:hAnsi="Arial" w:cs="Arial"/>
                <w:sz w:val="20"/>
                <w:szCs w:val="20"/>
              </w:rPr>
              <w:t xml:space="preserve"> = akcionář má právo na výplatu části zisku společnosti – </w:t>
            </w:r>
            <w:r w:rsidRPr="00A54EDE">
              <w:rPr>
                <w:rFonts w:ascii="Arial" w:hAnsi="Arial" w:cs="Arial"/>
                <w:b/>
                <w:bCs/>
                <w:sz w:val="20"/>
                <w:szCs w:val="20"/>
              </w:rPr>
              <w:t xml:space="preserve">dividenda (= </w:t>
            </w:r>
          </w:p>
          <w:p w:rsidR="00A54EDE" w:rsidRPr="00A54EDE" w:rsidRDefault="00A54EDE" w:rsidP="00FB5416">
            <w:pPr>
              <w:spacing w:after="0" w:line="360" w:lineRule="auto"/>
              <w:rPr>
                <w:rFonts w:ascii="Arial" w:hAnsi="Arial" w:cs="Arial"/>
                <w:b/>
                <w:bCs/>
                <w:sz w:val="20"/>
                <w:szCs w:val="20"/>
              </w:rPr>
            </w:pPr>
            <w:r w:rsidRPr="00A54EDE">
              <w:rPr>
                <w:rFonts w:ascii="Arial" w:hAnsi="Arial" w:cs="Arial"/>
                <w:b/>
                <w:bCs/>
                <w:sz w:val="20"/>
                <w:szCs w:val="20"/>
              </w:rPr>
              <w:t xml:space="preserve">    </w:t>
            </w:r>
            <w:proofErr w:type="gramStart"/>
            <w:r w:rsidRPr="00A54EDE">
              <w:rPr>
                <w:rFonts w:ascii="Arial" w:hAnsi="Arial" w:cs="Arial"/>
                <w:b/>
                <w:bCs/>
                <w:sz w:val="20"/>
                <w:szCs w:val="20"/>
              </w:rPr>
              <w:t>podíl  na</w:t>
            </w:r>
            <w:proofErr w:type="gramEnd"/>
            <w:r w:rsidRPr="00A54EDE">
              <w:rPr>
                <w:rFonts w:ascii="Arial" w:hAnsi="Arial" w:cs="Arial"/>
                <w:b/>
                <w:bCs/>
                <w:sz w:val="20"/>
                <w:szCs w:val="20"/>
              </w:rPr>
              <w:t xml:space="preserve"> zisku),</w:t>
            </w:r>
          </w:p>
          <w:p w:rsidR="00A54EDE" w:rsidRPr="00A54EDE" w:rsidRDefault="00A54EDE" w:rsidP="00FB5416">
            <w:pPr>
              <w:spacing w:after="0" w:line="360" w:lineRule="auto"/>
              <w:jc w:val="both"/>
              <w:rPr>
                <w:rFonts w:ascii="Arial" w:hAnsi="Arial" w:cs="Arial"/>
                <w:sz w:val="20"/>
                <w:szCs w:val="20"/>
              </w:rPr>
            </w:pPr>
            <w:r w:rsidRPr="00A54EDE">
              <w:rPr>
                <w:rFonts w:ascii="Arial" w:hAnsi="Arial" w:cs="Arial"/>
                <w:sz w:val="20"/>
                <w:szCs w:val="20"/>
              </w:rPr>
              <w:t>2) </w:t>
            </w:r>
            <w:r w:rsidRPr="00A54EDE">
              <w:rPr>
                <w:rFonts w:ascii="Arial" w:hAnsi="Arial" w:cs="Arial"/>
                <w:b/>
                <w:bCs/>
                <w:sz w:val="20"/>
                <w:szCs w:val="20"/>
              </w:rPr>
              <w:t>podílet se na řízení společnosti</w:t>
            </w:r>
            <w:r w:rsidRPr="00A54EDE">
              <w:rPr>
                <w:rFonts w:ascii="Arial" w:hAnsi="Arial" w:cs="Arial"/>
                <w:sz w:val="20"/>
                <w:szCs w:val="20"/>
              </w:rPr>
              <w:t xml:space="preserve"> = právo hlasovat a tím řídit společnost.</w:t>
            </w:r>
          </w:p>
          <w:p w:rsidR="00A54EDE" w:rsidRPr="00A54EDE" w:rsidRDefault="00A54EDE" w:rsidP="00FB5416">
            <w:pPr>
              <w:spacing w:after="0" w:line="360" w:lineRule="auto"/>
              <w:jc w:val="both"/>
              <w:rPr>
                <w:rFonts w:ascii="Arial" w:hAnsi="Arial" w:cs="Arial"/>
                <w:sz w:val="20"/>
                <w:szCs w:val="20"/>
              </w:rPr>
            </w:pPr>
            <w:r w:rsidRPr="00A54EDE">
              <w:rPr>
                <w:rFonts w:ascii="Arial" w:hAnsi="Arial" w:cs="Arial"/>
                <w:sz w:val="20"/>
                <w:szCs w:val="20"/>
              </w:rPr>
              <w:t xml:space="preserve"> 3) </w:t>
            </w:r>
            <w:r w:rsidRPr="00A54EDE">
              <w:rPr>
                <w:rFonts w:ascii="Arial" w:hAnsi="Arial" w:cs="Arial"/>
                <w:b/>
                <w:sz w:val="20"/>
                <w:szCs w:val="20"/>
              </w:rPr>
              <w:t>na likvidačním zůstatku při zániku a. s</w:t>
            </w:r>
          </w:p>
          <w:p w:rsidR="00A54EDE" w:rsidRPr="00A54EDE" w:rsidRDefault="00A54EDE" w:rsidP="00FB5416">
            <w:pPr>
              <w:jc w:val="both"/>
              <w:rPr>
                <w:rFonts w:ascii="Arial" w:hAnsi="Arial" w:cs="Arial"/>
                <w:sz w:val="20"/>
                <w:szCs w:val="20"/>
              </w:rPr>
            </w:pPr>
          </w:p>
          <w:p w:rsidR="00A54EDE" w:rsidRPr="00A54EDE" w:rsidRDefault="00A54EDE" w:rsidP="00FB5416">
            <w:pPr>
              <w:jc w:val="both"/>
              <w:rPr>
                <w:rFonts w:ascii="Arial" w:hAnsi="Arial" w:cs="Arial"/>
                <w:sz w:val="20"/>
                <w:szCs w:val="20"/>
              </w:rPr>
            </w:pPr>
            <w:r w:rsidRPr="00A54EDE">
              <w:rPr>
                <w:rFonts w:ascii="Arial" w:hAnsi="Arial" w:cs="Arial"/>
                <w:sz w:val="20"/>
                <w:szCs w:val="20"/>
              </w:rPr>
              <w:t>Akciová společnost získává svůj majetek vydáním akcií.</w:t>
            </w:r>
          </w:p>
          <w:p w:rsidR="00A54EDE" w:rsidRPr="00A54EDE" w:rsidRDefault="00A54EDE" w:rsidP="00FB5416">
            <w:pPr>
              <w:jc w:val="both"/>
              <w:rPr>
                <w:rFonts w:ascii="Arial" w:hAnsi="Arial" w:cs="Arial"/>
                <w:sz w:val="20"/>
                <w:szCs w:val="20"/>
              </w:rPr>
            </w:pPr>
            <w:r w:rsidRPr="00A54EDE">
              <w:rPr>
                <w:rFonts w:ascii="Arial" w:hAnsi="Arial" w:cs="Arial"/>
                <w:sz w:val="20"/>
                <w:szCs w:val="20"/>
              </w:rPr>
              <w:t>Akcie má svou nominální a tržní hodnotu.</w:t>
            </w:r>
          </w:p>
          <w:p w:rsidR="00A54EDE" w:rsidRPr="00A54EDE" w:rsidRDefault="00A54EDE" w:rsidP="00FB5416">
            <w:pPr>
              <w:spacing w:after="0" w:line="360" w:lineRule="auto"/>
              <w:rPr>
                <w:rFonts w:ascii="Arial" w:hAnsi="Arial" w:cs="Arial"/>
                <w:sz w:val="20"/>
                <w:szCs w:val="20"/>
              </w:rPr>
            </w:pPr>
            <w:r w:rsidRPr="00A54EDE">
              <w:rPr>
                <w:rFonts w:ascii="Arial" w:hAnsi="Arial" w:cs="Arial"/>
                <w:sz w:val="20"/>
                <w:szCs w:val="20"/>
              </w:rPr>
              <w:t xml:space="preserve">a) </w:t>
            </w:r>
            <w:r w:rsidRPr="00A54EDE">
              <w:rPr>
                <w:rFonts w:ascii="Arial" w:hAnsi="Arial" w:cs="Arial"/>
                <w:b/>
                <w:sz w:val="20"/>
                <w:szCs w:val="20"/>
              </w:rPr>
              <w:t>nominální hodnota</w:t>
            </w:r>
            <w:r w:rsidRPr="00A54EDE">
              <w:rPr>
                <w:rFonts w:ascii="Arial" w:hAnsi="Arial" w:cs="Arial"/>
                <w:sz w:val="20"/>
                <w:szCs w:val="20"/>
              </w:rPr>
              <w:t xml:space="preserve"> – je to hodnota akcie, která je na akcii napsaná a za tuto částku akcie se </w:t>
            </w:r>
          </w:p>
          <w:p w:rsidR="00A54EDE" w:rsidRPr="00A54EDE" w:rsidRDefault="00A54EDE" w:rsidP="00FB5416">
            <w:pPr>
              <w:spacing w:after="0" w:line="360" w:lineRule="auto"/>
              <w:rPr>
                <w:rFonts w:ascii="Arial" w:hAnsi="Arial" w:cs="Arial"/>
                <w:sz w:val="20"/>
                <w:szCs w:val="20"/>
              </w:rPr>
            </w:pPr>
            <w:r w:rsidRPr="00A54EDE">
              <w:rPr>
                <w:rFonts w:ascii="Arial" w:hAnsi="Arial" w:cs="Arial"/>
                <w:b/>
                <w:sz w:val="20"/>
                <w:szCs w:val="20"/>
              </w:rPr>
              <w:t xml:space="preserve">    </w:t>
            </w:r>
            <w:r w:rsidRPr="00A54EDE">
              <w:rPr>
                <w:rFonts w:ascii="Arial" w:hAnsi="Arial" w:cs="Arial"/>
                <w:sz w:val="20"/>
                <w:szCs w:val="20"/>
              </w:rPr>
              <w:t>emituje,</w:t>
            </w:r>
          </w:p>
          <w:p w:rsidR="00A54EDE" w:rsidRPr="00A54EDE" w:rsidRDefault="00A54EDE" w:rsidP="00FB5416">
            <w:pPr>
              <w:rPr>
                <w:rFonts w:ascii="Arial" w:hAnsi="Arial" w:cs="Arial"/>
                <w:sz w:val="20"/>
                <w:szCs w:val="20"/>
              </w:rPr>
            </w:pPr>
            <w:r w:rsidRPr="00A54EDE">
              <w:rPr>
                <w:rFonts w:ascii="Arial" w:hAnsi="Arial" w:cs="Arial"/>
                <w:noProof/>
                <w:sz w:val="20"/>
                <w:szCs w:val="20"/>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5"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A54EDE" w:rsidRPr="00A54EDE" w:rsidRDefault="00A54EDE" w:rsidP="00FB5416">
            <w:pPr>
              <w:spacing w:after="0"/>
              <w:rPr>
                <w:rFonts w:ascii="Arial" w:hAnsi="Arial" w:cs="Arial"/>
                <w:b/>
                <w:bCs/>
                <w:sz w:val="20"/>
                <w:szCs w:val="20"/>
              </w:rPr>
            </w:pPr>
          </w:p>
          <w:p w:rsidR="00A54EDE" w:rsidRPr="00A54EDE" w:rsidRDefault="00A54EDE" w:rsidP="00FB5416">
            <w:pPr>
              <w:spacing w:after="0" w:line="360" w:lineRule="auto"/>
              <w:ind w:left="-613"/>
              <w:jc w:val="both"/>
              <w:rPr>
                <w:rFonts w:ascii="Arial" w:hAnsi="Arial" w:cs="Arial"/>
                <w:sz w:val="20"/>
                <w:szCs w:val="20"/>
              </w:rPr>
            </w:pPr>
            <w:r w:rsidRPr="00A54EDE">
              <w:rPr>
                <w:rFonts w:ascii="Arial" w:hAnsi="Arial" w:cs="Arial"/>
                <w:sz w:val="20"/>
                <w:szCs w:val="20"/>
              </w:rPr>
              <w:t xml:space="preserve">b) </w:t>
            </w:r>
            <w:proofErr w:type="spellStart"/>
            <w:r w:rsidRPr="00A54EDE">
              <w:rPr>
                <w:rFonts w:ascii="Arial" w:hAnsi="Arial" w:cs="Arial"/>
                <w:sz w:val="20"/>
                <w:szCs w:val="20"/>
              </w:rPr>
              <w:t>kb</w:t>
            </w:r>
            <w:proofErr w:type="spellEnd"/>
            <w:r w:rsidRPr="00A54EDE">
              <w:rPr>
                <w:rFonts w:ascii="Arial" w:hAnsi="Arial" w:cs="Arial"/>
                <w:sz w:val="20"/>
                <w:szCs w:val="20"/>
              </w:rPr>
              <w:t>)</w:t>
            </w:r>
            <w:proofErr w:type="spellStart"/>
            <w:r w:rsidRPr="00A54EDE">
              <w:rPr>
                <w:rFonts w:ascii="Arial" w:hAnsi="Arial" w:cs="Arial"/>
                <w:b/>
                <w:sz w:val="20"/>
                <w:szCs w:val="20"/>
              </w:rPr>
              <w:t>kb</w:t>
            </w:r>
            <w:proofErr w:type="spellEnd"/>
            <w:r w:rsidRPr="00A54EDE">
              <w:rPr>
                <w:rFonts w:ascii="Arial" w:hAnsi="Arial" w:cs="Arial"/>
                <w:b/>
                <w:sz w:val="20"/>
                <w:szCs w:val="20"/>
              </w:rPr>
              <w:t>) kurzovní hodnota</w:t>
            </w:r>
            <w:r w:rsidRPr="00A54EDE">
              <w:rPr>
                <w:rFonts w:ascii="Arial" w:hAnsi="Arial" w:cs="Arial"/>
                <w:sz w:val="20"/>
                <w:szCs w:val="20"/>
              </w:rPr>
              <w:t xml:space="preserve"> – je různá, může být vyšší, nižší i stejná jako nominální hodnota a její výše </w:t>
            </w:r>
          </w:p>
          <w:p w:rsidR="00A54EDE" w:rsidRDefault="00A54EDE" w:rsidP="00A54EDE">
            <w:pPr>
              <w:spacing w:after="0" w:line="360" w:lineRule="auto"/>
              <w:jc w:val="both"/>
              <w:rPr>
                <w:rFonts w:ascii="Arial" w:hAnsi="Arial" w:cs="Arial"/>
                <w:sz w:val="20"/>
                <w:szCs w:val="20"/>
              </w:rPr>
            </w:pPr>
            <w:r>
              <w:rPr>
                <w:rFonts w:ascii="Arial" w:hAnsi="Arial" w:cs="Arial"/>
                <w:sz w:val="20"/>
                <w:szCs w:val="20"/>
              </w:rPr>
              <w:t xml:space="preserve">    </w:t>
            </w:r>
            <w:r w:rsidRPr="00A54EDE">
              <w:rPr>
                <w:rFonts w:ascii="Arial" w:hAnsi="Arial" w:cs="Arial"/>
                <w:sz w:val="20"/>
                <w:szCs w:val="20"/>
              </w:rPr>
              <w:t xml:space="preserve">závisí na vztahu nabídky a poptávky po akciích na trhu s cennými papíry – u nás je trhem    </w:t>
            </w:r>
            <w:r>
              <w:rPr>
                <w:rFonts w:ascii="Arial" w:hAnsi="Arial" w:cs="Arial"/>
                <w:sz w:val="20"/>
                <w:szCs w:val="20"/>
              </w:rPr>
              <w:t xml:space="preserve">  </w:t>
            </w:r>
          </w:p>
          <w:p w:rsidR="00A54EDE" w:rsidRPr="00A54EDE" w:rsidRDefault="00A54EDE" w:rsidP="00A54ED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b</w:t>
            </w:r>
            <w:r w:rsidRPr="00A54EDE">
              <w:rPr>
                <w:rFonts w:ascii="Arial" w:hAnsi="Arial" w:cs="Arial"/>
                <w:b/>
                <w:bCs/>
                <w:sz w:val="20"/>
                <w:szCs w:val="20"/>
              </w:rPr>
              <w:t>urza cenných papírů a RM-systém</w:t>
            </w:r>
          </w:p>
        </w:tc>
      </w:tr>
      <w:tr w:rsidR="00A54EDE" w:rsidRPr="00A35291" w:rsidTr="00A54EDE">
        <w:trPr>
          <w:tblCellSpacing w:w="15" w:type="dxa"/>
        </w:trPr>
        <w:tc>
          <w:tcPr>
            <w:tcW w:w="8773" w:type="dxa"/>
            <w:shd w:val="clear" w:color="auto" w:fill="auto"/>
            <w:tcMar>
              <w:top w:w="15" w:type="dxa"/>
              <w:left w:w="15" w:type="dxa"/>
              <w:bottom w:w="15" w:type="dxa"/>
              <w:right w:w="15" w:type="dxa"/>
            </w:tcMar>
            <w:vAlign w:val="center"/>
          </w:tcPr>
          <w:p w:rsidR="00A54EDE" w:rsidRPr="009F2FB7" w:rsidRDefault="00A54EDE" w:rsidP="00FB5416">
            <w:pPr>
              <w:spacing w:after="0" w:line="360" w:lineRule="auto"/>
              <w:jc w:val="both"/>
              <w:rPr>
                <w:rFonts w:ascii="Arial" w:hAnsi="Arial" w:cs="Arial"/>
                <w:sz w:val="20"/>
                <w:szCs w:val="20"/>
              </w:rPr>
            </w:pPr>
            <w:r w:rsidRPr="009F2FB7">
              <w:rPr>
                <w:rFonts w:ascii="Arial" w:hAnsi="Arial" w:cs="Arial"/>
                <w:b/>
                <w:bCs/>
                <w:sz w:val="20"/>
                <w:szCs w:val="20"/>
              </w:rPr>
              <w:lastRenderedPageBreak/>
              <w:t>Akcie mohou být vydávány:</w:t>
            </w:r>
          </w:p>
          <w:p w:rsidR="00A54EDE" w:rsidRPr="009F2FB7" w:rsidRDefault="00A54EDE" w:rsidP="00FB5416">
            <w:pPr>
              <w:jc w:val="both"/>
              <w:rPr>
                <w:rFonts w:ascii="Arial" w:hAnsi="Arial" w:cs="Arial"/>
                <w:sz w:val="20"/>
                <w:szCs w:val="20"/>
              </w:rPr>
            </w:pPr>
            <w:r w:rsidRPr="009F2FB7">
              <w:rPr>
                <w:rFonts w:ascii="Arial" w:hAnsi="Arial" w:cs="Arial"/>
                <w:sz w:val="20"/>
                <w:szCs w:val="20"/>
              </w:rPr>
              <w:t>1) v listinné podobě</w:t>
            </w:r>
          </w:p>
          <w:p w:rsidR="00A54EDE" w:rsidRPr="009F2FB7" w:rsidRDefault="00A54EDE" w:rsidP="00FB5416">
            <w:pPr>
              <w:jc w:val="both"/>
              <w:rPr>
                <w:rFonts w:ascii="Arial" w:hAnsi="Arial" w:cs="Arial"/>
                <w:sz w:val="20"/>
                <w:szCs w:val="20"/>
              </w:rPr>
            </w:pPr>
            <w:r w:rsidRPr="009F2FB7">
              <w:rPr>
                <w:rFonts w:ascii="Arial" w:hAnsi="Arial" w:cs="Arial"/>
                <w:sz w:val="20"/>
                <w:szCs w:val="20"/>
              </w:rPr>
              <w:t>2) v zaknihované podobě</w:t>
            </w:r>
          </w:p>
          <w:p w:rsidR="00A54EDE" w:rsidRPr="006051A5" w:rsidRDefault="00A54EDE" w:rsidP="00FB5416">
            <w:pPr>
              <w:spacing w:after="0"/>
              <w:rPr>
                <w:rFonts w:ascii="Arial" w:hAnsi="Arial" w:cs="Arial"/>
                <w:sz w:val="20"/>
                <w:szCs w:val="20"/>
              </w:rPr>
            </w:pPr>
            <w:r w:rsidRPr="006051A5">
              <w:rPr>
                <w:rFonts w:ascii="Arial" w:hAnsi="Arial" w:cs="Arial"/>
                <w:b/>
                <w:bCs/>
                <w:sz w:val="20"/>
                <w:szCs w:val="20"/>
              </w:rPr>
              <w:t>Akcie zahrnuje</w:t>
            </w:r>
            <w:r w:rsidRPr="006051A5">
              <w:rPr>
                <w:rFonts w:ascii="Arial" w:hAnsi="Arial" w:cs="Arial"/>
                <w:sz w:val="20"/>
                <w:szCs w:val="20"/>
              </w:rPr>
              <w:t>:</w:t>
            </w:r>
          </w:p>
          <w:p w:rsidR="00A54EDE" w:rsidRPr="006051A5" w:rsidRDefault="00A54EDE" w:rsidP="00FB5416">
            <w:pPr>
              <w:spacing w:after="0" w:line="360" w:lineRule="auto"/>
              <w:rPr>
                <w:rFonts w:ascii="Arial" w:hAnsi="Arial" w:cs="Arial"/>
                <w:sz w:val="20"/>
                <w:szCs w:val="20"/>
              </w:rPr>
            </w:pPr>
            <w:r w:rsidRPr="006051A5">
              <w:rPr>
                <w:rFonts w:ascii="Arial" w:hAnsi="Arial" w:cs="Arial"/>
                <w:sz w:val="20"/>
                <w:szCs w:val="20"/>
              </w:rPr>
              <w:t>1) </w:t>
            </w:r>
            <w:r w:rsidRPr="006051A5">
              <w:rPr>
                <w:rFonts w:ascii="Arial" w:hAnsi="Arial" w:cs="Arial"/>
                <w:b/>
                <w:bCs/>
                <w:sz w:val="20"/>
                <w:szCs w:val="20"/>
              </w:rPr>
              <w:t>titulní list</w:t>
            </w:r>
            <w:r w:rsidRPr="006051A5">
              <w:rPr>
                <w:rFonts w:ascii="Arial" w:hAnsi="Arial" w:cs="Arial"/>
                <w:sz w:val="20"/>
                <w:szCs w:val="20"/>
              </w:rPr>
              <w:t xml:space="preserve"> – je tam napsáno, kdo akcii emitoval, o jakou akcii se jedná, datum emise, nominální </w:t>
            </w:r>
          </w:p>
          <w:p w:rsidR="00A54EDE" w:rsidRPr="006051A5" w:rsidRDefault="00A54EDE" w:rsidP="00FB5416">
            <w:pPr>
              <w:spacing w:after="0" w:line="360" w:lineRule="auto"/>
              <w:ind w:left="720"/>
              <w:rPr>
                <w:rFonts w:ascii="Arial" w:hAnsi="Arial" w:cs="Arial"/>
                <w:b/>
                <w:bCs/>
                <w:sz w:val="20"/>
                <w:szCs w:val="20"/>
              </w:rPr>
            </w:pPr>
            <w:r w:rsidRPr="006051A5">
              <w:rPr>
                <w:rFonts w:ascii="Arial" w:hAnsi="Arial" w:cs="Arial"/>
                <w:b/>
                <w:bCs/>
                <w:sz w:val="20"/>
                <w:szCs w:val="20"/>
              </w:rPr>
              <w:t xml:space="preserve">    </w:t>
            </w:r>
            <w:r>
              <w:rPr>
                <w:rFonts w:ascii="Arial" w:hAnsi="Arial" w:cs="Arial"/>
                <w:b/>
                <w:bCs/>
                <w:sz w:val="20"/>
                <w:szCs w:val="20"/>
              </w:rPr>
              <w:t xml:space="preserve">        </w:t>
            </w:r>
            <w:r w:rsidRPr="006051A5">
              <w:rPr>
                <w:rFonts w:ascii="Arial" w:hAnsi="Arial" w:cs="Arial"/>
                <w:sz w:val="20"/>
                <w:szCs w:val="20"/>
              </w:rPr>
              <w:t>hodnota, podpis, název a. s.</w:t>
            </w:r>
          </w:p>
          <w:p w:rsidR="00A54EDE" w:rsidRPr="006051A5" w:rsidRDefault="00A54EDE" w:rsidP="00FB5416">
            <w:pPr>
              <w:spacing w:after="0" w:line="360" w:lineRule="auto"/>
              <w:rPr>
                <w:rFonts w:ascii="Arial" w:hAnsi="Arial" w:cs="Arial"/>
                <w:sz w:val="20"/>
                <w:szCs w:val="20"/>
              </w:rPr>
            </w:pPr>
            <w:r w:rsidRPr="006051A5">
              <w:rPr>
                <w:rFonts w:ascii="Arial" w:hAnsi="Arial" w:cs="Arial"/>
                <w:sz w:val="20"/>
                <w:szCs w:val="20"/>
              </w:rPr>
              <w:t>2) </w:t>
            </w:r>
            <w:r w:rsidRPr="006051A5">
              <w:rPr>
                <w:rFonts w:ascii="Arial" w:hAnsi="Arial" w:cs="Arial"/>
                <w:b/>
                <w:bCs/>
                <w:sz w:val="20"/>
                <w:szCs w:val="20"/>
              </w:rPr>
              <w:t>kupónový arch</w:t>
            </w:r>
            <w:r w:rsidRPr="006051A5">
              <w:rPr>
                <w:rFonts w:ascii="Arial" w:hAnsi="Arial" w:cs="Arial"/>
                <w:sz w:val="20"/>
                <w:szCs w:val="20"/>
              </w:rPr>
              <w:t xml:space="preserve"> – slouží pro výplatu dividend</w:t>
            </w:r>
          </w:p>
          <w:p w:rsidR="00A54EDE" w:rsidRPr="006051A5" w:rsidRDefault="00A54EDE" w:rsidP="00FB5416">
            <w:pPr>
              <w:spacing w:after="0" w:line="360" w:lineRule="auto"/>
              <w:rPr>
                <w:rFonts w:ascii="Arial" w:hAnsi="Arial" w:cs="Arial"/>
                <w:sz w:val="20"/>
                <w:szCs w:val="20"/>
              </w:rPr>
            </w:pPr>
            <w:r w:rsidRPr="006051A5">
              <w:rPr>
                <w:rFonts w:ascii="Arial" w:hAnsi="Arial" w:cs="Arial"/>
                <w:sz w:val="20"/>
                <w:szCs w:val="20"/>
              </w:rPr>
              <w:t>3) </w:t>
            </w:r>
            <w:r w:rsidRPr="006051A5">
              <w:rPr>
                <w:rFonts w:ascii="Arial" w:hAnsi="Arial" w:cs="Arial"/>
                <w:b/>
                <w:bCs/>
                <w:sz w:val="20"/>
                <w:szCs w:val="20"/>
              </w:rPr>
              <w:t>talón</w:t>
            </w:r>
            <w:r w:rsidRPr="006051A5">
              <w:rPr>
                <w:rFonts w:ascii="Arial" w:hAnsi="Arial" w:cs="Arial"/>
                <w:sz w:val="20"/>
                <w:szCs w:val="20"/>
              </w:rPr>
              <w:t xml:space="preserve"> – slouží pro vydávání nového kupónového archu</w:t>
            </w:r>
          </w:p>
          <w:p w:rsidR="00A54EDE" w:rsidRPr="006051A5" w:rsidRDefault="00A54EDE" w:rsidP="00FB5416">
            <w:pPr>
              <w:spacing w:after="0" w:line="360" w:lineRule="auto"/>
              <w:ind w:left="720"/>
              <w:rPr>
                <w:rFonts w:ascii="Arial" w:hAnsi="Arial" w:cs="Arial"/>
                <w:b/>
                <w:bCs/>
                <w:sz w:val="20"/>
                <w:szCs w:val="20"/>
              </w:rPr>
            </w:pPr>
            <w:r w:rsidRPr="006051A5">
              <w:rPr>
                <w:rFonts w:ascii="Arial" w:hAnsi="Arial" w:cs="Arial"/>
                <w:b/>
                <w:bCs/>
                <w:sz w:val="20"/>
                <w:szCs w:val="20"/>
              </w:rPr>
              <w:t> </w:t>
            </w:r>
          </w:p>
          <w:p w:rsidR="00A54EDE" w:rsidRPr="009F2FB7" w:rsidRDefault="00A54EDE" w:rsidP="00FB5416">
            <w:pPr>
              <w:jc w:val="both"/>
              <w:rPr>
                <w:rFonts w:ascii="Arial" w:hAnsi="Arial" w:cs="Arial"/>
                <w:b/>
                <w:bCs/>
                <w:sz w:val="20"/>
                <w:szCs w:val="20"/>
              </w:rPr>
            </w:pPr>
            <w:r w:rsidRPr="009F2FB7">
              <w:rPr>
                <w:rFonts w:ascii="Arial" w:hAnsi="Arial" w:cs="Arial"/>
                <w:b/>
                <w:bCs/>
                <w:sz w:val="20"/>
                <w:szCs w:val="20"/>
              </w:rPr>
              <w:t>Akcie musí obsahovat:</w:t>
            </w:r>
          </w:p>
          <w:p w:rsidR="00A54EDE" w:rsidRPr="009F2FB7" w:rsidRDefault="00A54EDE" w:rsidP="00A54EDE">
            <w:pPr>
              <w:spacing w:after="0" w:line="360" w:lineRule="auto"/>
              <w:jc w:val="both"/>
              <w:rPr>
                <w:rFonts w:ascii="Arial" w:hAnsi="Arial" w:cs="Arial"/>
                <w:sz w:val="20"/>
                <w:szCs w:val="20"/>
              </w:rPr>
            </w:pPr>
            <w:r w:rsidRPr="009F2FB7">
              <w:rPr>
                <w:rFonts w:ascii="Arial" w:hAnsi="Arial" w:cs="Arial"/>
                <w:sz w:val="20"/>
                <w:szCs w:val="20"/>
              </w:rPr>
              <w:t>a) obchodní jméno a sídlo společnosti</w:t>
            </w:r>
            <w:r>
              <w:rPr>
                <w:rFonts w:ascii="Arial" w:hAnsi="Arial" w:cs="Arial"/>
                <w:sz w:val="20"/>
                <w:szCs w:val="20"/>
              </w:rPr>
              <w:t>,</w:t>
            </w:r>
          </w:p>
          <w:p w:rsidR="00A54EDE" w:rsidRPr="009F2FB7" w:rsidRDefault="00A54EDE" w:rsidP="00A54EDE">
            <w:pPr>
              <w:spacing w:after="0" w:line="360" w:lineRule="auto"/>
              <w:jc w:val="both"/>
              <w:rPr>
                <w:rFonts w:ascii="Arial" w:hAnsi="Arial" w:cs="Arial"/>
                <w:sz w:val="20"/>
                <w:szCs w:val="20"/>
              </w:rPr>
            </w:pPr>
            <w:r w:rsidRPr="009F2FB7">
              <w:rPr>
                <w:rFonts w:ascii="Arial" w:hAnsi="Arial" w:cs="Arial"/>
                <w:sz w:val="20"/>
                <w:szCs w:val="20"/>
              </w:rPr>
              <w:t>b) číselné označení akcie a její jmenovitou hodnotu</w:t>
            </w:r>
            <w:r>
              <w:rPr>
                <w:rFonts w:ascii="Arial" w:hAnsi="Arial" w:cs="Arial"/>
                <w:sz w:val="20"/>
                <w:szCs w:val="20"/>
              </w:rPr>
              <w:t>,</w:t>
            </w:r>
          </w:p>
          <w:p w:rsidR="00A54EDE" w:rsidRPr="009F2FB7" w:rsidRDefault="00A54EDE" w:rsidP="00A54EDE">
            <w:pPr>
              <w:spacing w:after="0" w:line="360" w:lineRule="auto"/>
              <w:jc w:val="both"/>
              <w:rPr>
                <w:rFonts w:ascii="Arial" w:hAnsi="Arial" w:cs="Arial"/>
                <w:sz w:val="20"/>
                <w:szCs w:val="20"/>
              </w:rPr>
            </w:pPr>
            <w:r w:rsidRPr="009F2FB7">
              <w:rPr>
                <w:rFonts w:ascii="Arial" w:hAnsi="Arial" w:cs="Arial"/>
                <w:sz w:val="20"/>
                <w:szCs w:val="20"/>
              </w:rPr>
              <w:t>c) označení, zda akcie je na majitele nebo na jméno, u akcie na jméno akcionáře</w:t>
            </w:r>
            <w:r>
              <w:rPr>
                <w:rFonts w:ascii="Arial" w:hAnsi="Arial" w:cs="Arial"/>
                <w:sz w:val="20"/>
                <w:szCs w:val="20"/>
              </w:rPr>
              <w:t>,</w:t>
            </w:r>
          </w:p>
          <w:p w:rsidR="00A54EDE" w:rsidRPr="009F2FB7" w:rsidRDefault="00A54EDE" w:rsidP="00A54EDE">
            <w:pPr>
              <w:spacing w:after="0" w:line="360" w:lineRule="auto"/>
              <w:jc w:val="both"/>
              <w:rPr>
                <w:rFonts w:ascii="Arial" w:hAnsi="Arial" w:cs="Arial"/>
                <w:sz w:val="20"/>
                <w:szCs w:val="20"/>
              </w:rPr>
            </w:pPr>
            <w:r w:rsidRPr="009F2FB7">
              <w:rPr>
                <w:rFonts w:ascii="Arial" w:hAnsi="Arial" w:cs="Arial"/>
                <w:sz w:val="20"/>
                <w:szCs w:val="20"/>
              </w:rPr>
              <w:t>d)</w:t>
            </w:r>
            <w:r>
              <w:rPr>
                <w:rFonts w:ascii="Arial" w:hAnsi="Arial" w:cs="Arial"/>
                <w:sz w:val="20"/>
                <w:szCs w:val="20"/>
              </w:rPr>
              <w:t xml:space="preserve"> </w:t>
            </w:r>
            <w:r w:rsidRPr="009F2FB7">
              <w:rPr>
                <w:rFonts w:ascii="Arial" w:hAnsi="Arial" w:cs="Arial"/>
                <w:sz w:val="20"/>
                <w:szCs w:val="20"/>
              </w:rPr>
              <w:t xml:space="preserve">výši </w:t>
            </w:r>
            <w:r>
              <w:rPr>
                <w:rFonts w:ascii="Arial" w:hAnsi="Arial" w:cs="Arial"/>
                <w:sz w:val="20"/>
                <w:szCs w:val="20"/>
              </w:rPr>
              <w:t xml:space="preserve">základního jmění </w:t>
            </w:r>
            <w:r w:rsidRPr="009F2FB7">
              <w:rPr>
                <w:rFonts w:ascii="Arial" w:hAnsi="Arial" w:cs="Arial"/>
                <w:sz w:val="20"/>
                <w:szCs w:val="20"/>
              </w:rPr>
              <w:t>a počet akcií v době vydání akcie</w:t>
            </w:r>
            <w:r>
              <w:rPr>
                <w:rFonts w:ascii="Arial" w:hAnsi="Arial" w:cs="Arial"/>
                <w:sz w:val="20"/>
                <w:szCs w:val="20"/>
              </w:rPr>
              <w:t>,</w:t>
            </w:r>
          </w:p>
          <w:p w:rsidR="00A54EDE" w:rsidRPr="009F2FB7" w:rsidRDefault="00A54EDE" w:rsidP="00A54EDE">
            <w:pPr>
              <w:spacing w:after="0" w:line="360" w:lineRule="auto"/>
              <w:jc w:val="both"/>
              <w:rPr>
                <w:rFonts w:ascii="Arial" w:hAnsi="Arial" w:cs="Arial"/>
                <w:sz w:val="20"/>
                <w:szCs w:val="20"/>
              </w:rPr>
            </w:pPr>
            <w:r w:rsidRPr="009F2FB7">
              <w:rPr>
                <w:rFonts w:ascii="Arial" w:hAnsi="Arial" w:cs="Arial"/>
                <w:sz w:val="20"/>
                <w:szCs w:val="20"/>
              </w:rPr>
              <w:t>e)</w:t>
            </w:r>
            <w:r>
              <w:rPr>
                <w:rFonts w:ascii="Arial" w:hAnsi="Arial" w:cs="Arial"/>
                <w:sz w:val="20"/>
                <w:szCs w:val="20"/>
              </w:rPr>
              <w:t xml:space="preserve"> </w:t>
            </w:r>
            <w:r w:rsidRPr="009F2FB7">
              <w:rPr>
                <w:rFonts w:ascii="Arial" w:hAnsi="Arial" w:cs="Arial"/>
                <w:sz w:val="20"/>
                <w:szCs w:val="20"/>
              </w:rPr>
              <w:t>datum vydání a podpisy dvou členů představenstva oprávněných podepisovat za společnost</w:t>
            </w:r>
            <w:r>
              <w:rPr>
                <w:rFonts w:ascii="Arial" w:hAnsi="Arial" w:cs="Arial"/>
                <w:sz w:val="20"/>
                <w:szCs w:val="20"/>
              </w:rPr>
              <w:t>.</w:t>
            </w:r>
          </w:p>
          <w:p w:rsidR="00A54EDE" w:rsidRDefault="00A54EDE" w:rsidP="00FB5416">
            <w:pPr>
              <w:jc w:val="both"/>
              <w:rPr>
                <w:rFonts w:ascii="Arial" w:hAnsi="Arial" w:cs="Arial"/>
                <w:sz w:val="20"/>
                <w:szCs w:val="20"/>
              </w:rPr>
            </w:pPr>
            <w:r w:rsidRPr="009F2FB7">
              <w:rPr>
                <w:rFonts w:ascii="Arial" w:hAnsi="Arial" w:cs="Arial"/>
                <w:sz w:val="20"/>
                <w:szCs w:val="20"/>
              </w:rPr>
              <w:t> </w:t>
            </w:r>
          </w:p>
          <w:p w:rsidR="00A54EDE" w:rsidRPr="006051A5" w:rsidRDefault="00A54EDE" w:rsidP="00FB5416">
            <w:pPr>
              <w:jc w:val="both"/>
              <w:rPr>
                <w:rFonts w:ascii="Arial" w:hAnsi="Arial" w:cs="Arial"/>
                <w:sz w:val="20"/>
                <w:szCs w:val="20"/>
              </w:rPr>
            </w:pPr>
            <w:r w:rsidRPr="009F2FB7">
              <w:rPr>
                <w:rFonts w:ascii="Arial" w:hAnsi="Arial" w:cs="Arial"/>
                <w:b/>
                <w:sz w:val="20"/>
                <w:szCs w:val="20"/>
              </w:rPr>
              <w:t>Druhy akcií</w:t>
            </w:r>
          </w:p>
          <w:p w:rsidR="00A54EDE" w:rsidRDefault="00A54EDE" w:rsidP="00FB5416">
            <w:pPr>
              <w:spacing w:after="0" w:line="360" w:lineRule="auto"/>
              <w:jc w:val="both"/>
              <w:rPr>
                <w:rFonts w:ascii="Arial" w:hAnsi="Arial" w:cs="Arial"/>
                <w:sz w:val="20"/>
                <w:szCs w:val="20"/>
              </w:rPr>
            </w:pPr>
            <w:r w:rsidRPr="009F2FB7">
              <w:rPr>
                <w:rFonts w:ascii="Arial" w:hAnsi="Arial" w:cs="Arial"/>
                <w:sz w:val="20"/>
                <w:szCs w:val="20"/>
              </w:rPr>
              <w:t>1)  </w:t>
            </w:r>
            <w:r w:rsidRPr="006051A5">
              <w:rPr>
                <w:rFonts w:ascii="Arial" w:hAnsi="Arial" w:cs="Arial"/>
                <w:b/>
                <w:sz w:val="20"/>
                <w:szCs w:val="20"/>
              </w:rPr>
              <w:t>A</w:t>
            </w:r>
            <w:r w:rsidRPr="009F2FB7">
              <w:rPr>
                <w:rFonts w:ascii="Arial" w:hAnsi="Arial" w:cs="Arial"/>
                <w:b/>
                <w:bCs/>
                <w:sz w:val="20"/>
                <w:szCs w:val="20"/>
              </w:rPr>
              <w:t>kcie na jméno</w:t>
            </w:r>
            <w:r w:rsidRPr="009F2FB7">
              <w:rPr>
                <w:rFonts w:ascii="Arial" w:hAnsi="Arial" w:cs="Arial"/>
                <w:sz w:val="20"/>
                <w:szCs w:val="20"/>
              </w:rPr>
              <w:t xml:space="preserve"> – převod této akcie na jinou osobu probíhá tzv. rubopisem. A. s. vede přesný </w:t>
            </w:r>
          </w:p>
          <w:p w:rsidR="00A54EDE" w:rsidRDefault="00A54EDE" w:rsidP="00FB5416">
            <w:pPr>
              <w:spacing w:after="0" w:line="360" w:lineRule="auto"/>
              <w:jc w:val="both"/>
              <w:rPr>
                <w:rFonts w:ascii="Arial" w:hAnsi="Arial" w:cs="Arial"/>
                <w:sz w:val="20"/>
                <w:szCs w:val="20"/>
              </w:rPr>
            </w:pPr>
            <w:r>
              <w:rPr>
                <w:rFonts w:ascii="Arial" w:hAnsi="Arial" w:cs="Arial"/>
                <w:sz w:val="20"/>
                <w:szCs w:val="20"/>
              </w:rPr>
              <w:t xml:space="preserve">     </w:t>
            </w:r>
            <w:r w:rsidRPr="009F2FB7">
              <w:rPr>
                <w:rFonts w:ascii="Arial" w:hAnsi="Arial" w:cs="Arial"/>
                <w:sz w:val="20"/>
                <w:szCs w:val="20"/>
              </w:rPr>
              <w:t xml:space="preserve">jmenný seznam akcionářů a změna majitele akcie musí být zaznamenána i na jmenném </w:t>
            </w:r>
            <w:r>
              <w:rPr>
                <w:rFonts w:ascii="Arial" w:hAnsi="Arial" w:cs="Arial"/>
                <w:sz w:val="20"/>
                <w:szCs w:val="20"/>
              </w:rPr>
              <w:t xml:space="preserve">     </w:t>
            </w:r>
          </w:p>
          <w:p w:rsidR="00A54EDE" w:rsidRPr="009F2FB7" w:rsidRDefault="00A54EDE" w:rsidP="00FB5416">
            <w:pPr>
              <w:spacing w:after="0" w:line="360" w:lineRule="auto"/>
              <w:jc w:val="both"/>
              <w:rPr>
                <w:rFonts w:ascii="Arial" w:hAnsi="Arial" w:cs="Arial"/>
                <w:b/>
                <w:sz w:val="20"/>
                <w:szCs w:val="20"/>
              </w:rPr>
            </w:pPr>
            <w:r>
              <w:rPr>
                <w:rFonts w:ascii="Arial" w:hAnsi="Arial" w:cs="Arial"/>
                <w:sz w:val="20"/>
                <w:szCs w:val="20"/>
              </w:rPr>
              <w:t xml:space="preserve">     </w:t>
            </w:r>
            <w:r w:rsidRPr="009F2FB7">
              <w:rPr>
                <w:rFonts w:ascii="Arial" w:hAnsi="Arial" w:cs="Arial"/>
                <w:sz w:val="20"/>
                <w:szCs w:val="20"/>
              </w:rPr>
              <w:t>seznamu akcionářů</w:t>
            </w:r>
            <w:r>
              <w:rPr>
                <w:rFonts w:ascii="Arial" w:hAnsi="Arial" w:cs="Arial"/>
                <w:sz w:val="20"/>
                <w:szCs w:val="20"/>
              </w:rPr>
              <w:t>.</w:t>
            </w:r>
          </w:p>
          <w:p w:rsidR="00A54EDE" w:rsidRPr="009F2FB7" w:rsidRDefault="00A54EDE" w:rsidP="00FB5416">
            <w:pPr>
              <w:jc w:val="both"/>
              <w:rPr>
                <w:rFonts w:ascii="Arial" w:hAnsi="Arial" w:cs="Arial"/>
                <w:sz w:val="20"/>
                <w:szCs w:val="20"/>
              </w:rPr>
            </w:pPr>
            <w:r w:rsidRPr="009F2FB7">
              <w:rPr>
                <w:rFonts w:ascii="Arial" w:hAnsi="Arial" w:cs="Arial"/>
                <w:sz w:val="20"/>
                <w:szCs w:val="20"/>
              </w:rPr>
              <w:t>2)  </w:t>
            </w:r>
            <w:r w:rsidRPr="009F2FB7">
              <w:rPr>
                <w:rFonts w:ascii="Arial" w:hAnsi="Arial" w:cs="Arial"/>
                <w:b/>
                <w:sz w:val="20"/>
                <w:szCs w:val="20"/>
              </w:rPr>
              <w:t>A</w:t>
            </w:r>
            <w:r w:rsidRPr="009F2FB7">
              <w:rPr>
                <w:rFonts w:ascii="Arial" w:hAnsi="Arial" w:cs="Arial"/>
                <w:b/>
                <w:bCs/>
                <w:sz w:val="20"/>
                <w:szCs w:val="20"/>
              </w:rPr>
              <w:t>kcie na majitele</w:t>
            </w:r>
            <w:r w:rsidRPr="009F2FB7">
              <w:rPr>
                <w:rFonts w:ascii="Arial" w:hAnsi="Arial" w:cs="Arial"/>
                <w:sz w:val="20"/>
                <w:szCs w:val="20"/>
              </w:rPr>
              <w:t xml:space="preserve"> – je převoditelná předáním jiné osobě</w:t>
            </w:r>
            <w:r>
              <w:rPr>
                <w:rFonts w:ascii="Arial" w:hAnsi="Arial" w:cs="Arial"/>
                <w:sz w:val="20"/>
                <w:szCs w:val="20"/>
              </w:rPr>
              <w:t>.</w:t>
            </w:r>
          </w:p>
          <w:p w:rsidR="00A54EDE" w:rsidRPr="009F2FB7" w:rsidRDefault="00A54EDE" w:rsidP="00FB5416">
            <w:pPr>
              <w:jc w:val="both"/>
              <w:rPr>
                <w:rFonts w:ascii="Arial" w:hAnsi="Arial" w:cs="Arial"/>
                <w:sz w:val="20"/>
                <w:szCs w:val="20"/>
              </w:rPr>
            </w:pPr>
            <w:r w:rsidRPr="009F2FB7">
              <w:rPr>
                <w:rFonts w:ascii="Arial" w:hAnsi="Arial" w:cs="Arial"/>
                <w:sz w:val="20"/>
                <w:szCs w:val="20"/>
              </w:rPr>
              <w:t> Zvláštním druhem akcií jsou:</w:t>
            </w:r>
          </w:p>
          <w:p w:rsidR="00A54EDE" w:rsidRDefault="00A54EDE" w:rsidP="00FB5416">
            <w:pPr>
              <w:spacing w:after="0" w:line="360" w:lineRule="auto"/>
              <w:rPr>
                <w:rFonts w:ascii="Arial" w:hAnsi="Arial" w:cs="Arial"/>
                <w:sz w:val="20"/>
                <w:szCs w:val="20"/>
              </w:rPr>
            </w:pPr>
            <w:r w:rsidRPr="009F2FB7">
              <w:rPr>
                <w:rFonts w:ascii="Arial" w:hAnsi="Arial" w:cs="Arial"/>
                <w:sz w:val="20"/>
                <w:szCs w:val="20"/>
              </w:rPr>
              <w:t>1) </w:t>
            </w:r>
            <w:r w:rsidRPr="009F2FB7">
              <w:rPr>
                <w:rFonts w:ascii="Arial" w:hAnsi="Arial" w:cs="Arial"/>
                <w:b/>
                <w:bCs/>
                <w:sz w:val="20"/>
                <w:szCs w:val="20"/>
              </w:rPr>
              <w:t>akcie zaměstnanecké</w:t>
            </w:r>
            <w:r w:rsidRPr="009F2FB7">
              <w:rPr>
                <w:rFonts w:ascii="Arial" w:hAnsi="Arial" w:cs="Arial"/>
                <w:sz w:val="20"/>
                <w:szCs w:val="20"/>
              </w:rPr>
              <w:t xml:space="preserve"> – jsou prodávány vlastním zaměstnancům za výhodnějších podm</w:t>
            </w:r>
            <w:r>
              <w:rPr>
                <w:rFonts w:ascii="Arial" w:hAnsi="Arial" w:cs="Arial"/>
                <w:sz w:val="20"/>
                <w:szCs w:val="20"/>
              </w:rPr>
              <w:t>í</w:t>
            </w:r>
            <w:r w:rsidRPr="009F2FB7">
              <w:rPr>
                <w:rFonts w:ascii="Arial" w:hAnsi="Arial" w:cs="Arial"/>
                <w:sz w:val="20"/>
                <w:szCs w:val="20"/>
              </w:rPr>
              <w:t xml:space="preserve">nek. </w:t>
            </w:r>
            <w:r>
              <w:rPr>
                <w:rFonts w:ascii="Arial" w:hAnsi="Arial" w:cs="Arial"/>
                <w:sz w:val="20"/>
                <w:szCs w:val="20"/>
              </w:rPr>
              <w:t xml:space="preserve">   </w:t>
            </w:r>
          </w:p>
          <w:p w:rsidR="00A54EDE" w:rsidRDefault="00A54EDE" w:rsidP="00FB5416">
            <w:pPr>
              <w:spacing w:after="0" w:line="360" w:lineRule="auto"/>
              <w:rPr>
                <w:rFonts w:ascii="Arial" w:hAnsi="Arial" w:cs="Arial"/>
                <w:sz w:val="20"/>
                <w:szCs w:val="20"/>
              </w:rPr>
            </w:pPr>
            <w:r>
              <w:rPr>
                <w:rFonts w:ascii="Arial" w:hAnsi="Arial" w:cs="Arial"/>
                <w:sz w:val="20"/>
                <w:szCs w:val="20"/>
              </w:rPr>
              <w:t xml:space="preserve">   </w:t>
            </w:r>
            <w:r w:rsidRPr="009F2FB7">
              <w:rPr>
                <w:rFonts w:ascii="Arial" w:hAnsi="Arial" w:cs="Arial"/>
                <w:sz w:val="20"/>
                <w:szCs w:val="20"/>
              </w:rPr>
              <w:t xml:space="preserve">Jsou to akcie na jméno. Množství vydávaných zaměstnaneckých akcií je omezeno 5% </w:t>
            </w:r>
          </w:p>
          <w:p w:rsidR="00A54EDE" w:rsidRPr="009F2FB7" w:rsidRDefault="00A54EDE" w:rsidP="00FB5416">
            <w:pPr>
              <w:spacing w:after="0" w:line="360" w:lineRule="auto"/>
              <w:rPr>
                <w:rFonts w:ascii="Arial" w:hAnsi="Arial" w:cs="Arial"/>
                <w:sz w:val="20"/>
                <w:szCs w:val="20"/>
              </w:rPr>
            </w:pPr>
            <w:r>
              <w:rPr>
                <w:rFonts w:ascii="Arial" w:hAnsi="Arial" w:cs="Arial"/>
                <w:sz w:val="20"/>
                <w:szCs w:val="20"/>
              </w:rPr>
              <w:t xml:space="preserve">   základního jmění s</w:t>
            </w:r>
            <w:r w:rsidRPr="009F2FB7">
              <w:rPr>
                <w:rFonts w:ascii="Arial" w:hAnsi="Arial" w:cs="Arial"/>
                <w:sz w:val="20"/>
                <w:szCs w:val="20"/>
              </w:rPr>
              <w:t>polečnosti</w:t>
            </w:r>
            <w:r>
              <w:rPr>
                <w:rFonts w:ascii="Arial" w:hAnsi="Arial" w:cs="Arial"/>
                <w:sz w:val="20"/>
                <w:szCs w:val="20"/>
              </w:rPr>
              <w:t>,</w:t>
            </w:r>
          </w:p>
          <w:p w:rsidR="00A54EDE" w:rsidRDefault="00A54EDE" w:rsidP="00FB5416">
            <w:pPr>
              <w:spacing w:after="0" w:line="360" w:lineRule="auto"/>
              <w:rPr>
                <w:rFonts w:ascii="Arial" w:hAnsi="Arial" w:cs="Arial"/>
                <w:sz w:val="20"/>
                <w:szCs w:val="20"/>
              </w:rPr>
            </w:pPr>
          </w:p>
          <w:p w:rsidR="00A54EDE" w:rsidRPr="009F2FB7" w:rsidRDefault="00A54EDE" w:rsidP="00FB5416">
            <w:pPr>
              <w:jc w:val="both"/>
              <w:rPr>
                <w:rFonts w:ascii="Arial" w:hAnsi="Arial" w:cs="Arial"/>
                <w:sz w:val="20"/>
                <w:szCs w:val="20"/>
              </w:rPr>
            </w:pPr>
          </w:p>
          <w:p w:rsidR="00A54EDE" w:rsidRPr="00A54EDE" w:rsidRDefault="00A54EDE" w:rsidP="00FF59FA">
            <w:pPr>
              <w:spacing w:after="0"/>
            </w:pPr>
            <w:r w:rsidRPr="00A54EDE">
              <w:rPr>
                <w:rFonts w:ascii="Arial" w:hAnsi="Arial" w:cs="Arial"/>
                <w:noProof/>
                <w:sz w:val="20"/>
                <w:szCs w:val="20"/>
              </w:rPr>
              <w:lastRenderedPageBreak/>
              <w:drawing>
                <wp:inline distT="0" distB="0" distL="0" distR="0">
                  <wp:extent cx="5248275" cy="1219017"/>
                  <wp:effectExtent l="19050" t="0" r="9525" b="0"/>
                  <wp:docPr id="28" name="obrázek 1" descr="OPVK_hor_zakladni_logolink_RG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VK_hor_zakladni_logolink_RGB_cz.jpg"/>
                          <pic:cNvPicPr>
                            <a:picLocks noChangeAspect="1" noChangeArrowheads="1"/>
                          </pic:cNvPicPr>
                        </pic:nvPicPr>
                        <pic:blipFill>
                          <a:blip r:embed="rId6" cstate="print"/>
                          <a:srcRect/>
                          <a:stretch>
                            <a:fillRect/>
                          </a:stretch>
                        </pic:blipFill>
                        <pic:spPr bwMode="auto">
                          <a:xfrm>
                            <a:off x="0" y="0"/>
                            <a:ext cx="5248275" cy="1219017"/>
                          </a:xfrm>
                          <a:prstGeom prst="rect">
                            <a:avLst/>
                          </a:prstGeom>
                          <a:noFill/>
                          <a:ln w="9525">
                            <a:noFill/>
                            <a:miter lim="800000"/>
                            <a:headEnd/>
                            <a:tailEnd/>
                          </a:ln>
                        </pic:spPr>
                      </pic:pic>
                    </a:graphicData>
                  </a:graphic>
                </wp:inline>
              </w:drawing>
            </w:r>
          </w:p>
        </w:tc>
      </w:tr>
    </w:tbl>
    <w:p w:rsidR="00A54EDE" w:rsidRPr="006051A5" w:rsidRDefault="00A54EDE" w:rsidP="00A54EDE">
      <w:pPr>
        <w:spacing w:line="360" w:lineRule="auto"/>
        <w:rPr>
          <w:rFonts w:ascii="Arial" w:hAnsi="Arial" w:cs="Arial"/>
          <w:sz w:val="20"/>
          <w:szCs w:val="20"/>
        </w:rPr>
      </w:pPr>
      <w:r w:rsidRPr="00A35291">
        <w:rPr>
          <w:rFonts w:ascii="Arial" w:hAnsi="Arial" w:cs="Arial"/>
          <w:b/>
          <w:sz w:val="20"/>
          <w:szCs w:val="20"/>
        </w:rPr>
        <w:lastRenderedPageBreak/>
        <w:t>2) </w:t>
      </w:r>
      <w:r w:rsidRPr="00A35291">
        <w:rPr>
          <w:rFonts w:ascii="Arial" w:hAnsi="Arial" w:cs="Arial"/>
          <w:b/>
          <w:bCs/>
          <w:sz w:val="20"/>
          <w:szCs w:val="20"/>
        </w:rPr>
        <w:t>akcie prioritní</w:t>
      </w:r>
      <w:r w:rsidRPr="00A35291">
        <w:rPr>
          <w:rFonts w:ascii="Arial" w:hAnsi="Arial" w:cs="Arial"/>
          <w:b/>
          <w:sz w:val="20"/>
          <w:szCs w:val="20"/>
        </w:rPr>
        <w:t xml:space="preserve"> – </w:t>
      </w:r>
      <w:r w:rsidRPr="006051A5">
        <w:rPr>
          <w:rFonts w:ascii="Arial" w:hAnsi="Arial" w:cs="Arial"/>
          <w:sz w:val="20"/>
          <w:szCs w:val="20"/>
        </w:rPr>
        <w:t>je s nimi spojeno přednostní právo na dividendu.</w:t>
      </w:r>
    </w:p>
    <w:p w:rsidR="00A54EDE" w:rsidRPr="00CF3844" w:rsidRDefault="00A54EDE" w:rsidP="00A54EDE">
      <w:pPr>
        <w:spacing w:line="360" w:lineRule="auto"/>
        <w:jc w:val="both"/>
        <w:rPr>
          <w:rFonts w:ascii="Arial" w:hAnsi="Arial" w:cs="Arial"/>
          <w:sz w:val="20"/>
          <w:szCs w:val="20"/>
        </w:rPr>
      </w:pPr>
      <w:r w:rsidRPr="00A35291">
        <w:rPr>
          <w:rFonts w:ascii="Arial" w:hAnsi="Arial" w:cs="Arial"/>
          <w:b/>
          <w:sz w:val="20"/>
          <w:szCs w:val="20"/>
        </w:rPr>
        <w:t> </w:t>
      </w:r>
      <w:r w:rsidRPr="00A35291">
        <w:rPr>
          <w:rFonts w:ascii="Arial" w:hAnsi="Arial" w:cs="Arial"/>
          <w:b/>
          <w:bCs/>
          <w:sz w:val="20"/>
          <w:szCs w:val="20"/>
        </w:rPr>
        <w:t>Prioritní obvyklé</w:t>
      </w:r>
      <w:r w:rsidRPr="00A35291">
        <w:rPr>
          <w:rFonts w:ascii="Arial" w:hAnsi="Arial" w:cs="Arial"/>
          <w:b/>
          <w:sz w:val="20"/>
          <w:szCs w:val="20"/>
        </w:rPr>
        <w:t xml:space="preserve"> – </w:t>
      </w:r>
      <w:r w:rsidRPr="006051A5">
        <w:rPr>
          <w:rFonts w:ascii="Arial" w:hAnsi="Arial" w:cs="Arial"/>
          <w:sz w:val="20"/>
          <w:szCs w:val="20"/>
        </w:rPr>
        <w:t>majitelé těchto akcií obdrží dividendu vždy ve stejné výši, kdy společnost dosahuje zisku</w:t>
      </w:r>
      <w:r>
        <w:rPr>
          <w:rFonts w:ascii="Arial" w:hAnsi="Arial" w:cs="Arial"/>
          <w:sz w:val="20"/>
          <w:szCs w:val="20"/>
        </w:rPr>
        <w:t>,</w:t>
      </w:r>
      <w:r w:rsidRPr="006051A5">
        <w:rPr>
          <w:rFonts w:ascii="Arial" w:hAnsi="Arial" w:cs="Arial"/>
          <w:sz w:val="20"/>
          <w:szCs w:val="20"/>
        </w:rPr>
        <w:t xml:space="preserve"> a v tomto případě nemají hlasovací právo na výsledku hospodaření</w:t>
      </w:r>
      <w:r>
        <w:rPr>
          <w:rFonts w:ascii="Arial" w:hAnsi="Arial" w:cs="Arial"/>
          <w:sz w:val="20"/>
          <w:szCs w:val="20"/>
        </w:rPr>
        <w:t>.</w:t>
      </w:r>
      <w:r w:rsidRPr="00A35291">
        <w:rPr>
          <w:rFonts w:ascii="Arial" w:hAnsi="Arial" w:cs="Arial"/>
          <w:b/>
          <w:sz w:val="20"/>
          <w:szCs w:val="20"/>
        </w:rPr>
        <w:t xml:space="preserve"> </w:t>
      </w:r>
      <w:r w:rsidRPr="00A35291">
        <w:rPr>
          <w:rFonts w:ascii="Arial" w:hAnsi="Arial" w:cs="Arial"/>
          <w:sz w:val="20"/>
          <w:szCs w:val="20"/>
        </w:rPr>
        <w:t>V případ</w:t>
      </w:r>
      <w:r>
        <w:rPr>
          <w:rFonts w:ascii="Arial" w:hAnsi="Arial" w:cs="Arial"/>
          <w:sz w:val="20"/>
          <w:szCs w:val="20"/>
        </w:rPr>
        <w:t>u</w:t>
      </w:r>
      <w:r w:rsidRPr="00A35291">
        <w:rPr>
          <w:rFonts w:ascii="Arial" w:hAnsi="Arial" w:cs="Arial"/>
          <w:sz w:val="20"/>
          <w:szCs w:val="20"/>
        </w:rPr>
        <w:t xml:space="preserve"> </w:t>
      </w:r>
      <w:proofErr w:type="gramStart"/>
      <w:r w:rsidRPr="00A35291">
        <w:rPr>
          <w:rFonts w:ascii="Arial" w:hAnsi="Arial" w:cs="Arial"/>
          <w:sz w:val="20"/>
          <w:szCs w:val="20"/>
        </w:rPr>
        <w:t>že  společnost</w:t>
      </w:r>
      <w:proofErr w:type="gramEnd"/>
      <w:r w:rsidRPr="00A35291">
        <w:rPr>
          <w:rFonts w:ascii="Arial" w:hAnsi="Arial" w:cs="Arial"/>
          <w:sz w:val="20"/>
          <w:szCs w:val="20"/>
        </w:rPr>
        <w:t xml:space="preserve"> </w:t>
      </w:r>
      <w:r w:rsidRPr="00CF3844">
        <w:rPr>
          <w:rFonts w:ascii="Arial" w:hAnsi="Arial" w:cs="Arial"/>
          <w:sz w:val="20"/>
          <w:szCs w:val="20"/>
        </w:rPr>
        <w:t>nedosahuj</w:t>
      </w:r>
      <w:r>
        <w:rPr>
          <w:rFonts w:ascii="Arial" w:hAnsi="Arial" w:cs="Arial"/>
          <w:sz w:val="20"/>
          <w:szCs w:val="20"/>
        </w:rPr>
        <w:t>e</w:t>
      </w:r>
      <w:r w:rsidRPr="00CF3844">
        <w:rPr>
          <w:rFonts w:ascii="Arial" w:hAnsi="Arial" w:cs="Arial"/>
          <w:sz w:val="20"/>
          <w:szCs w:val="20"/>
        </w:rPr>
        <w:t xml:space="preserve"> zisku, mají hlasovací právo na výsledku hospodaření.</w:t>
      </w:r>
    </w:p>
    <w:p w:rsidR="00A54EDE" w:rsidRPr="00A54EDE" w:rsidRDefault="00A54EDE" w:rsidP="00A54EDE">
      <w:pPr>
        <w:pStyle w:val="Odstavecseseznamem"/>
        <w:numPr>
          <w:ilvl w:val="0"/>
          <w:numId w:val="3"/>
        </w:numPr>
        <w:spacing w:after="0" w:line="360" w:lineRule="auto"/>
        <w:jc w:val="both"/>
        <w:rPr>
          <w:rFonts w:ascii="Arial" w:hAnsi="Arial" w:cs="Arial"/>
          <w:sz w:val="20"/>
          <w:szCs w:val="20"/>
        </w:rPr>
      </w:pPr>
      <w:r w:rsidRPr="00A54EDE">
        <w:rPr>
          <w:rFonts w:ascii="Arial" w:hAnsi="Arial" w:cs="Arial"/>
          <w:b/>
          <w:bCs/>
          <w:sz w:val="20"/>
          <w:szCs w:val="20"/>
        </w:rPr>
        <w:t xml:space="preserve">prioritní </w:t>
      </w:r>
      <w:r w:rsidRPr="00A54EDE">
        <w:rPr>
          <w:rFonts w:ascii="Arial" w:hAnsi="Arial" w:cs="Arial"/>
          <w:sz w:val="20"/>
          <w:szCs w:val="20"/>
        </w:rPr>
        <w:t>– nemají nikdy hlasovací právo a dividenda jim přísluší za všechna období, i když společnost nedosahuje zisku.</w:t>
      </w:r>
    </w:p>
    <w:p w:rsidR="00A54EDE" w:rsidRPr="00A54EDE" w:rsidRDefault="00A54EDE" w:rsidP="00A54EDE">
      <w:pPr>
        <w:pStyle w:val="Odstavecseseznamem"/>
        <w:numPr>
          <w:ilvl w:val="0"/>
          <w:numId w:val="3"/>
        </w:numPr>
        <w:spacing w:after="0" w:line="360" w:lineRule="auto"/>
        <w:jc w:val="both"/>
        <w:rPr>
          <w:rFonts w:ascii="Arial" w:hAnsi="Arial" w:cs="Arial"/>
          <w:b/>
          <w:bCs/>
          <w:sz w:val="20"/>
          <w:szCs w:val="20"/>
        </w:rPr>
      </w:pPr>
      <w:r w:rsidRPr="00A54EDE">
        <w:rPr>
          <w:rFonts w:ascii="Arial" w:hAnsi="Arial" w:cs="Arial"/>
          <w:b/>
          <w:bCs/>
          <w:sz w:val="20"/>
          <w:szCs w:val="20"/>
        </w:rPr>
        <w:t>kmenové (obyčejné)</w:t>
      </w:r>
      <w:r w:rsidRPr="00A54EDE">
        <w:rPr>
          <w:rFonts w:ascii="Arial" w:hAnsi="Arial" w:cs="Arial"/>
          <w:sz w:val="20"/>
          <w:szCs w:val="20"/>
        </w:rPr>
        <w:t xml:space="preserve"> – majitelé těchto akcií přichází na řadu při rozdělování zisku až po majitelích prioritních akcií. Mají právo hlasovat a dividendu dostávají na základě závislosti na zisku a vkladu.</w:t>
      </w:r>
    </w:p>
    <w:p w:rsidR="00A54EDE" w:rsidRPr="00CF3844" w:rsidRDefault="00A54EDE" w:rsidP="00A54EDE">
      <w:pPr>
        <w:spacing w:line="360" w:lineRule="auto"/>
        <w:jc w:val="both"/>
        <w:rPr>
          <w:rFonts w:ascii="Arial" w:hAnsi="Arial" w:cs="Arial"/>
          <w:sz w:val="20"/>
          <w:szCs w:val="20"/>
        </w:rPr>
      </w:pPr>
      <w:r w:rsidRPr="00CF3844">
        <w:rPr>
          <w:rFonts w:ascii="Arial" w:hAnsi="Arial" w:cs="Arial"/>
          <w:sz w:val="20"/>
          <w:szCs w:val="20"/>
        </w:rPr>
        <w:t xml:space="preserve">Akcie jsou obchodovatelné. Nákup a prodej akcií se uskutečňuje na burze cenných papírů. Akcie se vydávají za jmenovitou hodnotu – nominální cenu. Prodávají a kupují se však za ceny zpravidla odlišné od jmenovité ceny, za tzv. </w:t>
      </w:r>
      <w:r w:rsidRPr="00CF3844">
        <w:rPr>
          <w:rFonts w:ascii="Arial" w:hAnsi="Arial" w:cs="Arial"/>
          <w:b/>
          <w:bCs/>
          <w:sz w:val="20"/>
          <w:szCs w:val="20"/>
        </w:rPr>
        <w:t>tržní ceny</w:t>
      </w:r>
      <w:r w:rsidRPr="00CF3844">
        <w:rPr>
          <w:rFonts w:ascii="Arial" w:hAnsi="Arial" w:cs="Arial"/>
          <w:sz w:val="20"/>
          <w:szCs w:val="20"/>
        </w:rPr>
        <w:t xml:space="preserve">, které se také označují </w:t>
      </w:r>
      <w:r w:rsidRPr="00CF3844">
        <w:rPr>
          <w:rFonts w:ascii="Arial" w:hAnsi="Arial" w:cs="Arial"/>
          <w:b/>
          <w:bCs/>
          <w:sz w:val="20"/>
          <w:szCs w:val="20"/>
        </w:rPr>
        <w:t>kurs</w:t>
      </w:r>
      <w:r w:rsidRPr="00CF3844">
        <w:rPr>
          <w:rFonts w:ascii="Arial" w:hAnsi="Arial" w:cs="Arial"/>
          <w:sz w:val="20"/>
          <w:szCs w:val="20"/>
        </w:rPr>
        <w:t xml:space="preserve"> </w:t>
      </w:r>
      <w:r w:rsidRPr="00CF3844">
        <w:rPr>
          <w:rFonts w:ascii="Arial" w:hAnsi="Arial" w:cs="Arial"/>
          <w:b/>
          <w:bCs/>
          <w:sz w:val="20"/>
          <w:szCs w:val="20"/>
        </w:rPr>
        <w:t>akcie.</w:t>
      </w:r>
      <w:r w:rsidRPr="00CF3844">
        <w:rPr>
          <w:rFonts w:ascii="Arial" w:hAnsi="Arial" w:cs="Arial"/>
          <w:sz w:val="20"/>
          <w:szCs w:val="20"/>
        </w:rPr>
        <w:t xml:space="preserve"> Tržní ceny jsou závislé na nabídce a poptávce po akciích určité společnosti.</w:t>
      </w:r>
    </w:p>
    <w:p w:rsidR="00A54EDE" w:rsidRPr="009F2FB7" w:rsidRDefault="00A54EDE" w:rsidP="00A54EDE">
      <w:pPr>
        <w:spacing w:line="360" w:lineRule="auto"/>
        <w:jc w:val="both"/>
        <w:rPr>
          <w:rFonts w:ascii="Arial" w:hAnsi="Arial" w:cs="Arial"/>
          <w:sz w:val="20"/>
          <w:szCs w:val="20"/>
        </w:rPr>
      </w:pPr>
      <w:r w:rsidRPr="009F2FB7">
        <w:rPr>
          <w:rFonts w:ascii="Arial" w:hAnsi="Arial" w:cs="Arial"/>
          <w:sz w:val="20"/>
          <w:szCs w:val="20"/>
        </w:rPr>
        <w:t xml:space="preserve">Poptávka po akciích je ovlivňována především prosperitou a. s., která je určována mimo jiné výší zisku společnosti a výší </w:t>
      </w:r>
      <w:r w:rsidRPr="009F2FB7">
        <w:rPr>
          <w:rFonts w:ascii="Arial" w:hAnsi="Arial" w:cs="Arial"/>
          <w:b/>
          <w:bCs/>
          <w:sz w:val="20"/>
          <w:szCs w:val="20"/>
        </w:rPr>
        <w:t>dividendy</w:t>
      </w:r>
      <w:r>
        <w:rPr>
          <w:rFonts w:ascii="Arial" w:hAnsi="Arial" w:cs="Arial"/>
          <w:b/>
          <w:bCs/>
          <w:sz w:val="20"/>
          <w:szCs w:val="20"/>
        </w:rPr>
        <w:t xml:space="preserve"> </w:t>
      </w:r>
      <w:r w:rsidRPr="001E2AB5">
        <w:rPr>
          <w:rFonts w:ascii="Arial" w:hAnsi="Arial" w:cs="Arial"/>
          <w:bCs/>
          <w:sz w:val="20"/>
          <w:szCs w:val="20"/>
        </w:rPr>
        <w:t>(</w:t>
      </w:r>
      <w:r w:rsidRPr="001E2AB5">
        <w:rPr>
          <w:rFonts w:ascii="Arial" w:hAnsi="Arial" w:cs="Arial"/>
          <w:sz w:val="20"/>
          <w:szCs w:val="20"/>
        </w:rPr>
        <w:t>j</w:t>
      </w:r>
      <w:r w:rsidRPr="009F2FB7">
        <w:rPr>
          <w:rFonts w:ascii="Arial" w:hAnsi="Arial" w:cs="Arial"/>
          <w:sz w:val="20"/>
          <w:szCs w:val="20"/>
        </w:rPr>
        <w:t>e část zisku připadající na jednu akcii</w:t>
      </w:r>
      <w:r>
        <w:rPr>
          <w:rFonts w:ascii="Arial" w:hAnsi="Arial" w:cs="Arial"/>
          <w:sz w:val="20"/>
          <w:szCs w:val="20"/>
        </w:rPr>
        <w:t>, m</w:t>
      </w:r>
      <w:r w:rsidRPr="009F2FB7">
        <w:rPr>
          <w:rFonts w:ascii="Arial" w:hAnsi="Arial" w:cs="Arial"/>
          <w:sz w:val="20"/>
          <w:szCs w:val="20"/>
        </w:rPr>
        <w:t>ůže být vyjádřena procentem z nominální hodnoty akcie.</w:t>
      </w:r>
    </w:p>
    <w:p w:rsidR="00A54EDE" w:rsidRPr="009F2FB7" w:rsidRDefault="00A54EDE" w:rsidP="00A54EDE">
      <w:pPr>
        <w:jc w:val="both"/>
        <w:rPr>
          <w:rFonts w:ascii="Arial" w:hAnsi="Arial" w:cs="Arial"/>
          <w:sz w:val="20"/>
          <w:szCs w:val="20"/>
        </w:rPr>
      </w:pPr>
      <w:r w:rsidRPr="009F2FB7">
        <w:rPr>
          <w:rFonts w:ascii="Arial" w:hAnsi="Arial" w:cs="Arial"/>
          <w:sz w:val="20"/>
          <w:szCs w:val="20"/>
        </w:rPr>
        <w:t> Výhodnost nákupu akcie se hodnotí podle výnosnosti akcie. Počítá se v %.</w:t>
      </w:r>
    </w:p>
    <w:p w:rsidR="00A54EDE" w:rsidRPr="001E2AB5" w:rsidRDefault="00A54EDE" w:rsidP="00A54EDE">
      <w:pPr>
        <w:jc w:val="both"/>
        <w:rPr>
          <w:rFonts w:ascii="Arial" w:hAnsi="Arial" w:cs="Arial"/>
          <w:sz w:val="20"/>
          <w:szCs w:val="20"/>
        </w:rPr>
      </w:pPr>
      <w:r w:rsidRPr="009F2FB7">
        <w:rPr>
          <w:rFonts w:ascii="Arial" w:hAnsi="Arial" w:cs="Arial"/>
          <w:sz w:val="20"/>
          <w:szCs w:val="20"/>
        </w:rPr>
        <w:t> </w:t>
      </w:r>
      <w:r w:rsidRPr="001E2AB5">
        <w:rPr>
          <w:rFonts w:ascii="Arial" w:hAnsi="Arial" w:cs="Arial"/>
          <w:b/>
          <w:sz w:val="20"/>
          <w:szCs w:val="20"/>
        </w:rPr>
        <w:t>Výnosnost akcie</w:t>
      </w:r>
    </w:p>
    <w:p w:rsidR="00A54EDE" w:rsidRPr="009F2FB7" w:rsidRDefault="00A54EDE" w:rsidP="00A54EDE">
      <w:pPr>
        <w:jc w:val="both"/>
        <w:rPr>
          <w:rFonts w:ascii="Arial" w:hAnsi="Arial" w:cs="Arial"/>
          <w:sz w:val="20"/>
          <w:szCs w:val="20"/>
        </w:rPr>
      </w:pPr>
      <w:r w:rsidRPr="009F2FB7">
        <w:rPr>
          <w:rFonts w:ascii="Arial" w:hAnsi="Arial" w:cs="Arial"/>
          <w:sz w:val="20"/>
          <w:szCs w:val="20"/>
        </w:rPr>
        <w:t>(</w:t>
      </w:r>
      <w:proofErr w:type="gramStart"/>
      <w:r w:rsidRPr="009F2FB7">
        <w:rPr>
          <w:rFonts w:ascii="Arial" w:hAnsi="Arial" w:cs="Arial"/>
          <w:sz w:val="20"/>
          <w:szCs w:val="20"/>
        </w:rPr>
        <w:t>dividenda : tržní</w:t>
      </w:r>
      <w:proofErr w:type="gramEnd"/>
      <w:r w:rsidRPr="009F2FB7">
        <w:rPr>
          <w:rFonts w:ascii="Arial" w:hAnsi="Arial" w:cs="Arial"/>
          <w:sz w:val="20"/>
          <w:szCs w:val="20"/>
        </w:rPr>
        <w:t xml:space="preserve"> cena) x 100</w:t>
      </w:r>
    </w:p>
    <w:p w:rsidR="00A54EDE" w:rsidRPr="009F2FB7" w:rsidRDefault="00A54EDE" w:rsidP="00A54EDE">
      <w:pPr>
        <w:spacing w:line="360" w:lineRule="auto"/>
        <w:jc w:val="both"/>
        <w:rPr>
          <w:rFonts w:ascii="Arial" w:hAnsi="Arial" w:cs="Arial"/>
          <w:sz w:val="20"/>
          <w:szCs w:val="20"/>
        </w:rPr>
      </w:pPr>
      <w:r w:rsidRPr="009F2FB7">
        <w:rPr>
          <w:rFonts w:ascii="Arial" w:hAnsi="Arial" w:cs="Arial"/>
          <w:sz w:val="20"/>
          <w:szCs w:val="20"/>
        </w:rPr>
        <w:t xml:space="preserve">Nákupem a prodejem akcií na burze může akcionář získat zpět vložený kapitál. Podle vývoje tržní ceny akcií může správným nákupem nebo prodejem akcie získat větší množství kapitálu, než původně do nákupu akcií vložil.  </w:t>
      </w:r>
    </w:p>
    <w:p w:rsidR="00A54EDE" w:rsidRPr="001E2AB5" w:rsidRDefault="00A54EDE" w:rsidP="00A54EDE">
      <w:pPr>
        <w:jc w:val="both"/>
        <w:rPr>
          <w:rFonts w:ascii="Arial" w:hAnsi="Arial" w:cs="Arial"/>
          <w:sz w:val="20"/>
          <w:szCs w:val="20"/>
        </w:rPr>
      </w:pPr>
      <w:r w:rsidRPr="009F2FB7">
        <w:rPr>
          <w:rFonts w:ascii="Arial" w:hAnsi="Arial" w:cs="Arial"/>
          <w:sz w:val="20"/>
          <w:szCs w:val="20"/>
        </w:rPr>
        <w:t> </w:t>
      </w:r>
      <w:r w:rsidRPr="009F2FB7">
        <w:rPr>
          <w:rFonts w:ascii="Arial" w:hAnsi="Arial" w:cs="Arial"/>
          <w:b/>
          <w:sz w:val="20"/>
          <w:szCs w:val="20"/>
        </w:rPr>
        <w:t>Klady:</w:t>
      </w:r>
    </w:p>
    <w:p w:rsidR="00A54EDE" w:rsidRPr="00A54EDE" w:rsidRDefault="00A54EDE" w:rsidP="00A54EDE">
      <w:pPr>
        <w:pStyle w:val="Odstavecseseznamem"/>
        <w:numPr>
          <w:ilvl w:val="0"/>
          <w:numId w:val="4"/>
        </w:numPr>
        <w:spacing w:after="0" w:line="360" w:lineRule="auto"/>
        <w:rPr>
          <w:rFonts w:ascii="Arial" w:hAnsi="Arial" w:cs="Arial"/>
          <w:sz w:val="20"/>
          <w:szCs w:val="20"/>
        </w:rPr>
      </w:pPr>
      <w:r w:rsidRPr="00A54EDE">
        <w:rPr>
          <w:rFonts w:ascii="Arial" w:hAnsi="Arial" w:cs="Arial"/>
          <w:sz w:val="20"/>
          <w:szCs w:val="20"/>
        </w:rPr>
        <w:t>omezené ručení akcionářů,</w:t>
      </w:r>
    </w:p>
    <w:p w:rsidR="00A54EDE" w:rsidRPr="00A54EDE" w:rsidRDefault="00A54EDE" w:rsidP="00A54EDE">
      <w:pPr>
        <w:pStyle w:val="Odstavecseseznamem"/>
        <w:numPr>
          <w:ilvl w:val="0"/>
          <w:numId w:val="4"/>
        </w:numPr>
        <w:spacing w:after="0" w:line="360" w:lineRule="auto"/>
        <w:rPr>
          <w:rFonts w:ascii="Arial" w:hAnsi="Arial" w:cs="Arial"/>
          <w:sz w:val="20"/>
          <w:szCs w:val="20"/>
        </w:rPr>
      </w:pPr>
      <w:r w:rsidRPr="00A54EDE">
        <w:rPr>
          <w:rFonts w:ascii="Arial" w:hAnsi="Arial" w:cs="Arial"/>
          <w:sz w:val="20"/>
          <w:szCs w:val="20"/>
        </w:rPr>
        <w:t>neomezená životnost společnosti (firma může pokračovat, i když zakladatelé odejdou)</w:t>
      </w:r>
    </w:p>
    <w:p w:rsidR="00A54EDE" w:rsidRPr="00A54EDE" w:rsidRDefault="00A54EDE" w:rsidP="00A54EDE">
      <w:pPr>
        <w:pStyle w:val="Odstavecseseznamem"/>
        <w:spacing w:line="360" w:lineRule="auto"/>
        <w:ind w:left="360"/>
        <w:rPr>
          <w:rFonts w:ascii="Arial" w:hAnsi="Arial" w:cs="Arial"/>
          <w:sz w:val="20"/>
          <w:szCs w:val="20"/>
        </w:rPr>
      </w:pPr>
      <w:r w:rsidRPr="00A54EDE">
        <w:rPr>
          <w:rFonts w:ascii="Arial" w:hAnsi="Arial" w:cs="Arial"/>
          <w:sz w:val="20"/>
          <w:szCs w:val="20"/>
        </w:rPr>
        <w:t>snadné přesuny vlastnictví (obchodování s akciemi),</w:t>
      </w:r>
    </w:p>
    <w:p w:rsidR="00A54EDE" w:rsidRPr="00A54EDE" w:rsidRDefault="00A54EDE" w:rsidP="00A54EDE">
      <w:pPr>
        <w:pStyle w:val="Odstavecseseznamem"/>
        <w:spacing w:line="360" w:lineRule="auto"/>
        <w:ind w:left="360"/>
        <w:rPr>
          <w:rFonts w:ascii="Arial" w:hAnsi="Arial" w:cs="Arial"/>
          <w:sz w:val="20"/>
          <w:szCs w:val="20"/>
        </w:rPr>
      </w:pPr>
    </w:p>
    <w:p w:rsidR="00A54EDE" w:rsidRDefault="00A54EDE" w:rsidP="00A54EDE">
      <w:pPr>
        <w:pStyle w:val="Odstavecseseznamem"/>
        <w:spacing w:line="360" w:lineRule="auto"/>
        <w:ind w:left="360"/>
        <w:rPr>
          <w:rFonts w:ascii="Arial" w:hAnsi="Arial" w:cs="Arial"/>
        </w:rPr>
      </w:pPr>
      <w:r w:rsidRPr="006051A5">
        <w:rPr>
          <w:rFonts w:ascii="Arial" w:hAnsi="Arial" w:cs="Arial"/>
          <w:noProof/>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5"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A54EDE" w:rsidRDefault="00A54EDE" w:rsidP="00A54EDE">
      <w:pPr>
        <w:pStyle w:val="Odstavecseseznamem"/>
        <w:spacing w:line="360" w:lineRule="auto"/>
        <w:ind w:left="360"/>
        <w:rPr>
          <w:rFonts w:ascii="Arial" w:hAnsi="Arial" w:cs="Arial"/>
        </w:rPr>
      </w:pPr>
    </w:p>
    <w:p w:rsidR="00A54EDE" w:rsidRPr="00A54EDE" w:rsidRDefault="00A54EDE" w:rsidP="00A54EDE">
      <w:pPr>
        <w:pStyle w:val="Odstavecseseznamem"/>
        <w:numPr>
          <w:ilvl w:val="0"/>
          <w:numId w:val="6"/>
        </w:numPr>
        <w:spacing w:after="0" w:line="360" w:lineRule="auto"/>
        <w:rPr>
          <w:rFonts w:ascii="Arial" w:hAnsi="Arial" w:cs="Arial"/>
          <w:sz w:val="20"/>
          <w:szCs w:val="20"/>
        </w:rPr>
      </w:pPr>
      <w:r w:rsidRPr="00A54EDE">
        <w:rPr>
          <w:rFonts w:ascii="Arial" w:hAnsi="Arial" w:cs="Arial"/>
          <w:sz w:val="20"/>
          <w:szCs w:val="20"/>
        </w:rPr>
        <w:t>nejefektivnější forma rozvoje „velkého“ podnikání vyžadujícího velkou masu kapitálu – umožňuje soustředění kapitálu pro realizaci akcií, na to nestačí jednotlivci ani výše uvedené společnosti.</w:t>
      </w:r>
    </w:p>
    <w:p w:rsidR="00A54EDE" w:rsidRPr="00A54EDE" w:rsidRDefault="00A54EDE" w:rsidP="00A54EDE">
      <w:pPr>
        <w:rPr>
          <w:rFonts w:ascii="Arial" w:hAnsi="Arial" w:cs="Arial"/>
          <w:b/>
          <w:sz w:val="20"/>
          <w:szCs w:val="20"/>
        </w:rPr>
      </w:pPr>
      <w:r w:rsidRPr="00A54EDE">
        <w:rPr>
          <w:rFonts w:ascii="Arial" w:hAnsi="Arial" w:cs="Arial"/>
          <w:b/>
          <w:sz w:val="20"/>
          <w:szCs w:val="20"/>
        </w:rPr>
        <w:t>Zápory:</w:t>
      </w:r>
    </w:p>
    <w:p w:rsidR="00A54EDE" w:rsidRPr="00A54EDE" w:rsidRDefault="00A54EDE" w:rsidP="00A54EDE">
      <w:pPr>
        <w:pStyle w:val="Odstavecseseznamem"/>
        <w:numPr>
          <w:ilvl w:val="0"/>
          <w:numId w:val="5"/>
        </w:numPr>
        <w:spacing w:after="0" w:line="360" w:lineRule="auto"/>
        <w:jc w:val="both"/>
        <w:rPr>
          <w:rFonts w:ascii="Arial" w:hAnsi="Arial" w:cs="Arial"/>
          <w:b/>
          <w:sz w:val="20"/>
          <w:szCs w:val="20"/>
        </w:rPr>
      </w:pPr>
      <w:r w:rsidRPr="00A54EDE">
        <w:rPr>
          <w:rFonts w:ascii="Arial" w:hAnsi="Arial" w:cs="Arial"/>
          <w:sz w:val="20"/>
          <w:szCs w:val="20"/>
        </w:rPr>
        <w:t>stanoveno základní jmění Kč 2 000 000,-,</w:t>
      </w:r>
    </w:p>
    <w:p w:rsidR="00A54EDE" w:rsidRPr="00A54EDE" w:rsidRDefault="00A54EDE" w:rsidP="00A54EDE">
      <w:pPr>
        <w:pStyle w:val="Odstavecseseznamem"/>
        <w:numPr>
          <w:ilvl w:val="0"/>
          <w:numId w:val="5"/>
        </w:numPr>
        <w:spacing w:after="0" w:line="360" w:lineRule="auto"/>
        <w:jc w:val="both"/>
        <w:rPr>
          <w:rFonts w:ascii="Arial" w:hAnsi="Arial" w:cs="Arial"/>
          <w:b/>
          <w:sz w:val="20"/>
          <w:szCs w:val="20"/>
        </w:rPr>
      </w:pPr>
      <w:r w:rsidRPr="00A54EDE">
        <w:rPr>
          <w:rFonts w:ascii="Arial" w:hAnsi="Arial" w:cs="Arial"/>
          <w:sz w:val="20"/>
          <w:szCs w:val="20"/>
        </w:rPr>
        <w:t xml:space="preserve">obtížnější založení – náročné na čas, náklady i znalosti kontrola ze strany státu, </w:t>
      </w:r>
    </w:p>
    <w:p w:rsidR="00A54EDE" w:rsidRPr="00A54EDE" w:rsidRDefault="00A54EDE" w:rsidP="00A54EDE">
      <w:pPr>
        <w:pStyle w:val="Odstavecseseznamem"/>
        <w:numPr>
          <w:ilvl w:val="0"/>
          <w:numId w:val="2"/>
        </w:numPr>
        <w:spacing w:after="0" w:line="360" w:lineRule="auto"/>
        <w:jc w:val="both"/>
        <w:rPr>
          <w:rFonts w:ascii="Arial" w:hAnsi="Arial" w:cs="Arial"/>
          <w:b/>
          <w:sz w:val="20"/>
          <w:szCs w:val="20"/>
        </w:rPr>
      </w:pPr>
      <w:r w:rsidRPr="00A54EDE">
        <w:rPr>
          <w:rFonts w:ascii="Arial" w:hAnsi="Arial" w:cs="Arial"/>
          <w:sz w:val="20"/>
          <w:szCs w:val="20"/>
        </w:rPr>
        <w:t>nezájem akcionářů o záležitosti společnosti, dochází k oddělení správy a řízení od vlastnictví, typický „manažerský podnik“,</w:t>
      </w:r>
    </w:p>
    <w:p w:rsidR="00A54EDE" w:rsidRPr="00A54EDE" w:rsidRDefault="00A54EDE" w:rsidP="00A54EDE">
      <w:pPr>
        <w:pStyle w:val="Odstavecseseznamem"/>
        <w:numPr>
          <w:ilvl w:val="0"/>
          <w:numId w:val="2"/>
        </w:numPr>
        <w:spacing w:after="0" w:line="360" w:lineRule="auto"/>
        <w:jc w:val="both"/>
        <w:rPr>
          <w:rFonts w:ascii="Arial" w:hAnsi="Arial" w:cs="Arial"/>
          <w:b/>
          <w:sz w:val="20"/>
          <w:szCs w:val="20"/>
        </w:rPr>
      </w:pPr>
      <w:proofErr w:type="spellStart"/>
      <w:r w:rsidRPr="00A54EDE">
        <w:rPr>
          <w:rFonts w:ascii="Arial" w:hAnsi="Arial" w:cs="Arial"/>
          <w:i/>
          <w:sz w:val="20"/>
          <w:szCs w:val="20"/>
        </w:rPr>
        <w:t>corporate</w:t>
      </w:r>
      <w:proofErr w:type="spellEnd"/>
      <w:r w:rsidRPr="00A54EDE">
        <w:rPr>
          <w:rFonts w:ascii="Arial" w:hAnsi="Arial" w:cs="Arial"/>
          <w:i/>
          <w:sz w:val="20"/>
          <w:szCs w:val="20"/>
        </w:rPr>
        <w:t xml:space="preserve"> </w:t>
      </w:r>
      <w:proofErr w:type="spellStart"/>
      <w:r w:rsidRPr="00A54EDE">
        <w:rPr>
          <w:rFonts w:ascii="Arial" w:hAnsi="Arial" w:cs="Arial"/>
          <w:i/>
          <w:sz w:val="20"/>
          <w:szCs w:val="20"/>
        </w:rPr>
        <w:t>governance</w:t>
      </w:r>
      <w:proofErr w:type="spellEnd"/>
      <w:r w:rsidRPr="00A54EDE">
        <w:rPr>
          <w:rFonts w:ascii="Arial" w:hAnsi="Arial" w:cs="Arial"/>
          <w:sz w:val="20"/>
          <w:szCs w:val="20"/>
        </w:rPr>
        <w:t xml:space="preserve"> - problém řešení vztahů mezi vlastníky (akcionáři), statutárními orgány, vrcholovým managementem a ostatními zájmovými skupinami (tj. zaměstnanci, zákazníci, dodavatelé, …),</w:t>
      </w:r>
    </w:p>
    <w:p w:rsidR="00A54EDE" w:rsidRPr="00A54EDE" w:rsidRDefault="00A54EDE" w:rsidP="00A54EDE">
      <w:pPr>
        <w:pStyle w:val="Odstavecseseznamem"/>
        <w:numPr>
          <w:ilvl w:val="0"/>
          <w:numId w:val="2"/>
        </w:numPr>
        <w:spacing w:after="0" w:line="360" w:lineRule="auto"/>
        <w:jc w:val="both"/>
        <w:rPr>
          <w:rFonts w:ascii="Arial" w:hAnsi="Arial" w:cs="Arial"/>
          <w:b/>
          <w:sz w:val="20"/>
          <w:szCs w:val="20"/>
        </w:rPr>
      </w:pPr>
      <w:r w:rsidRPr="00A54EDE">
        <w:rPr>
          <w:rFonts w:ascii="Arial" w:hAnsi="Arial" w:cs="Arial"/>
          <w:sz w:val="20"/>
          <w:szCs w:val="20"/>
        </w:rPr>
        <w:t>dvojí zdanění příjmů (nejprve zisku společnosti, pak dividend akcionářů),</w:t>
      </w:r>
    </w:p>
    <w:p w:rsidR="00A54EDE" w:rsidRPr="00A54EDE" w:rsidRDefault="00A54EDE" w:rsidP="00A54EDE">
      <w:pPr>
        <w:pStyle w:val="Odstavecseseznamem"/>
        <w:numPr>
          <w:ilvl w:val="0"/>
          <w:numId w:val="2"/>
        </w:numPr>
        <w:spacing w:after="0" w:line="360" w:lineRule="auto"/>
        <w:jc w:val="both"/>
        <w:rPr>
          <w:rFonts w:ascii="Arial" w:hAnsi="Arial" w:cs="Arial"/>
          <w:b/>
          <w:sz w:val="20"/>
          <w:szCs w:val="20"/>
        </w:rPr>
      </w:pPr>
      <w:r w:rsidRPr="00A54EDE">
        <w:rPr>
          <w:rFonts w:ascii="Arial" w:hAnsi="Arial" w:cs="Arial"/>
          <w:sz w:val="20"/>
          <w:szCs w:val="20"/>
        </w:rPr>
        <w:t>nutnost zřízení orgánů: představenstvo (statutární orgán), dozorčí rada (nejvyšší kontrolní orgán).</w:t>
      </w:r>
    </w:p>
    <w:p w:rsidR="00A54EDE" w:rsidRPr="00A54EDE" w:rsidRDefault="00A54EDE" w:rsidP="00A54EDE">
      <w:pPr>
        <w:spacing w:line="360" w:lineRule="auto"/>
        <w:ind w:left="360"/>
        <w:jc w:val="both"/>
        <w:rPr>
          <w:rFonts w:ascii="Arial" w:hAnsi="Arial" w:cs="Arial"/>
          <w:sz w:val="20"/>
          <w:szCs w:val="20"/>
        </w:rPr>
      </w:pPr>
    </w:p>
    <w:p w:rsidR="00A54EDE" w:rsidRPr="00A54EDE" w:rsidRDefault="00A54EDE" w:rsidP="00A54EDE">
      <w:pPr>
        <w:pStyle w:val="Nadpis1"/>
        <w:rPr>
          <w:sz w:val="20"/>
          <w:szCs w:val="20"/>
        </w:rPr>
      </w:pPr>
      <w:r w:rsidRPr="00A54EDE">
        <w:rPr>
          <w:sz w:val="20"/>
          <w:szCs w:val="20"/>
        </w:rPr>
        <w:t xml:space="preserve">          </w:t>
      </w:r>
    </w:p>
    <w:p w:rsidR="00A54EDE" w:rsidRPr="00A54EDE" w:rsidRDefault="00A54EDE" w:rsidP="00A54EDE">
      <w:pPr>
        <w:pStyle w:val="Nadpis1"/>
        <w:rPr>
          <w:sz w:val="20"/>
          <w:szCs w:val="20"/>
        </w:rPr>
      </w:pPr>
    </w:p>
    <w:p w:rsidR="00A54EDE" w:rsidRDefault="00A54EDE" w:rsidP="00A54EDE">
      <w:pPr>
        <w:pStyle w:val="Nadpis1"/>
      </w:pPr>
    </w:p>
    <w:p w:rsidR="00A54EDE" w:rsidRPr="00BC1F65" w:rsidRDefault="00A54EDE" w:rsidP="00A54EDE">
      <w:pPr>
        <w:ind w:left="180"/>
        <w:rPr>
          <w:b/>
          <w:sz w:val="24"/>
          <w:szCs w:val="24"/>
        </w:rPr>
      </w:pPr>
    </w:p>
    <w:p w:rsidR="00A54EDE" w:rsidRPr="00443707" w:rsidRDefault="00A54EDE" w:rsidP="00A54EDE">
      <w:pPr>
        <w:spacing w:after="0" w:line="360" w:lineRule="auto"/>
      </w:pPr>
    </w:p>
    <w:p w:rsidR="00A54EDE" w:rsidRDefault="00A54EDE" w:rsidP="00A54EDE">
      <w:pPr>
        <w:pStyle w:val="Default"/>
        <w:rPr>
          <w:b/>
          <w:bCs/>
          <w:sz w:val="20"/>
          <w:szCs w:val="20"/>
        </w:rPr>
      </w:pPr>
    </w:p>
    <w:p w:rsidR="00A54EDE" w:rsidRDefault="00A54EDE" w:rsidP="00A54EDE">
      <w:pPr>
        <w:rPr>
          <w:rFonts w:ascii="Arial" w:hAnsi="Arial" w:cs="Arial"/>
          <w:b/>
          <w:bCs/>
          <w:sz w:val="20"/>
          <w:szCs w:val="20"/>
        </w:rPr>
      </w:pPr>
    </w:p>
    <w:p w:rsidR="00A54EDE" w:rsidRDefault="00A54EDE" w:rsidP="00A54EDE">
      <w:pPr>
        <w:rPr>
          <w:rFonts w:ascii="Arial" w:hAnsi="Arial" w:cs="Arial"/>
          <w:b/>
          <w:bCs/>
          <w:sz w:val="20"/>
          <w:szCs w:val="20"/>
        </w:rPr>
      </w:pPr>
    </w:p>
    <w:p w:rsidR="00A54EDE" w:rsidRDefault="00A54EDE" w:rsidP="00A54EDE">
      <w:pPr>
        <w:rPr>
          <w:rFonts w:ascii="Arial" w:hAnsi="Arial" w:cs="Arial"/>
          <w:b/>
          <w:bCs/>
          <w:sz w:val="20"/>
          <w:szCs w:val="20"/>
        </w:rPr>
      </w:pPr>
    </w:p>
    <w:p w:rsidR="00A54EDE" w:rsidRDefault="00A54EDE" w:rsidP="00A54EDE">
      <w:pPr>
        <w:rPr>
          <w:rFonts w:ascii="Arial" w:hAnsi="Arial" w:cs="Arial"/>
          <w:b/>
          <w:bCs/>
          <w:sz w:val="20"/>
          <w:szCs w:val="20"/>
        </w:rPr>
      </w:pPr>
    </w:p>
    <w:p w:rsidR="00A54EDE" w:rsidRDefault="00A54EDE" w:rsidP="00A54EDE">
      <w:pPr>
        <w:rPr>
          <w:rFonts w:ascii="Arial" w:hAnsi="Arial" w:cs="Arial"/>
          <w:b/>
          <w:bCs/>
          <w:sz w:val="20"/>
          <w:szCs w:val="20"/>
        </w:rPr>
      </w:pPr>
    </w:p>
    <w:p w:rsidR="00A54EDE" w:rsidRDefault="00A54EDE" w:rsidP="00A54EDE">
      <w:pPr>
        <w:rPr>
          <w:rFonts w:ascii="Arial" w:hAnsi="Arial" w:cs="Arial"/>
          <w:b/>
          <w:bCs/>
          <w:sz w:val="20"/>
          <w:szCs w:val="20"/>
        </w:rPr>
      </w:pPr>
    </w:p>
    <w:p w:rsidR="00B10C0D" w:rsidRDefault="00B10C0D"/>
    <w:sectPr w:rsidR="00B10C0D" w:rsidSect="00B10C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4A45"/>
    <w:multiLevelType w:val="hybridMultilevel"/>
    <w:tmpl w:val="22662920"/>
    <w:lvl w:ilvl="0" w:tplc="0405000B">
      <w:start w:val="1"/>
      <w:numFmt w:val="bullet"/>
      <w:lvlText w:val=""/>
      <w:lvlJc w:val="left"/>
      <w:pPr>
        <w:ind w:left="360" w:hanging="360"/>
      </w:pPr>
      <w:rPr>
        <w:rFonts w:ascii="Wingdings" w:hAnsi="Wingding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1BD204F4"/>
    <w:multiLevelType w:val="hybridMultilevel"/>
    <w:tmpl w:val="7584C9EC"/>
    <w:lvl w:ilvl="0" w:tplc="0405000B">
      <w:start w:val="1"/>
      <w:numFmt w:val="bullet"/>
      <w:lvlText w:val=""/>
      <w:lvlJc w:val="left"/>
      <w:pPr>
        <w:ind w:left="360" w:hanging="360"/>
      </w:pPr>
      <w:rPr>
        <w:rFonts w:ascii="Wingdings" w:hAnsi="Wingding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366A3405"/>
    <w:multiLevelType w:val="hybridMultilevel"/>
    <w:tmpl w:val="880E02A4"/>
    <w:lvl w:ilvl="0" w:tplc="0405000B">
      <w:start w:val="1"/>
      <w:numFmt w:val="bullet"/>
      <w:lvlText w:val=""/>
      <w:lvlJc w:val="left"/>
      <w:pPr>
        <w:ind w:left="360" w:hanging="360"/>
      </w:pPr>
      <w:rPr>
        <w:rFonts w:ascii="Wingdings" w:hAnsi="Wingding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4A142DBA"/>
    <w:multiLevelType w:val="hybridMultilevel"/>
    <w:tmpl w:val="05AAC3E8"/>
    <w:lvl w:ilvl="0" w:tplc="0405000B">
      <w:start w:val="1"/>
      <w:numFmt w:val="bullet"/>
      <w:lvlText w:val=""/>
      <w:lvlJc w:val="left"/>
      <w:pPr>
        <w:ind w:left="360" w:hanging="360"/>
      </w:pPr>
      <w:rPr>
        <w:rFonts w:ascii="Wingdings" w:hAnsi="Wingding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584E00F8"/>
    <w:multiLevelType w:val="hybridMultilevel"/>
    <w:tmpl w:val="B24ED534"/>
    <w:lvl w:ilvl="0" w:tplc="0405000B">
      <w:start w:val="1"/>
      <w:numFmt w:val="bullet"/>
      <w:lvlText w:val=""/>
      <w:lvlJc w:val="left"/>
      <w:pPr>
        <w:ind w:left="360" w:hanging="360"/>
      </w:pPr>
      <w:rPr>
        <w:rFonts w:ascii="Wingdings" w:hAnsi="Wingding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70F2458D"/>
    <w:multiLevelType w:val="hybridMultilevel"/>
    <w:tmpl w:val="E5D82DF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4EDE"/>
    <w:rsid w:val="00156835"/>
    <w:rsid w:val="0020449B"/>
    <w:rsid w:val="00415DCD"/>
    <w:rsid w:val="00605800"/>
    <w:rsid w:val="00893BEF"/>
    <w:rsid w:val="00A54EDE"/>
    <w:rsid w:val="00B10C0D"/>
    <w:rsid w:val="00BA0B63"/>
    <w:rsid w:val="00C67D06"/>
    <w:rsid w:val="00DA1AFB"/>
    <w:rsid w:val="00DD03CD"/>
    <w:rsid w:val="00F27F68"/>
    <w:rsid w:val="00F76A00"/>
    <w:rsid w:val="00FF59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4EDE"/>
    <w:pPr>
      <w:spacing w:after="200" w:line="276" w:lineRule="auto"/>
    </w:pPr>
    <w:rPr>
      <w:rFonts w:asciiTheme="minorHAnsi" w:eastAsiaTheme="minorEastAsia" w:hAnsiTheme="minorHAnsi" w:cstheme="minorBidi"/>
      <w:sz w:val="22"/>
      <w:szCs w:val="22"/>
    </w:rPr>
  </w:style>
  <w:style w:type="paragraph" w:styleId="Nadpis1">
    <w:name w:val="heading 1"/>
    <w:aliases w:val="Muj nadpis1"/>
    <w:basedOn w:val="Normln"/>
    <w:next w:val="Normln"/>
    <w:link w:val="Nadpis1Char"/>
    <w:uiPriority w:val="9"/>
    <w:qFormat/>
    <w:rsid w:val="00F27F68"/>
    <w:pPr>
      <w:keepNext/>
      <w:spacing w:before="240" w:after="60" w:line="240" w:lineRule="auto"/>
      <w:outlineLvl w:val="0"/>
    </w:pPr>
    <w:rPr>
      <w:rFonts w:ascii="Arial" w:eastAsiaTheme="majorEastAsia" w:hAnsi="Arial" w:cstheme="majorBidi"/>
      <w:b/>
      <w:bCs/>
      <w:kern w:val="32"/>
      <w:sz w:val="32"/>
      <w:szCs w:val="32"/>
    </w:rPr>
  </w:style>
  <w:style w:type="paragraph" w:styleId="Nadpis2">
    <w:name w:val="heading 2"/>
    <w:basedOn w:val="Normln"/>
    <w:next w:val="Normln"/>
    <w:link w:val="Nadpis2Char"/>
    <w:qFormat/>
    <w:rsid w:val="00F27F68"/>
    <w:pPr>
      <w:keepNext/>
      <w:spacing w:before="240" w:after="60" w:line="240" w:lineRule="auto"/>
      <w:outlineLvl w:val="1"/>
    </w:pPr>
    <w:rPr>
      <w:rFonts w:ascii="Arial" w:eastAsiaTheme="majorEastAsia" w:hAnsi="Arial" w:cs="Arial"/>
      <w:b/>
      <w:bCs/>
      <w:i/>
      <w:iCs/>
      <w:sz w:val="28"/>
      <w:szCs w:val="28"/>
    </w:rPr>
  </w:style>
  <w:style w:type="paragraph" w:styleId="Nadpis3">
    <w:name w:val="heading 3"/>
    <w:basedOn w:val="Normln"/>
    <w:next w:val="Normln"/>
    <w:link w:val="Nadpis3Char"/>
    <w:qFormat/>
    <w:rsid w:val="00F27F68"/>
    <w:pPr>
      <w:keepNext/>
      <w:spacing w:before="240" w:after="60" w:line="240" w:lineRule="auto"/>
      <w:outlineLvl w:val="2"/>
    </w:pPr>
    <w:rPr>
      <w:rFonts w:ascii="Arial" w:eastAsiaTheme="majorEastAsia" w:hAnsi="Arial" w:cs="Arial"/>
      <w:b/>
      <w:bCs/>
      <w:sz w:val="26"/>
      <w:szCs w:val="26"/>
    </w:rPr>
  </w:style>
  <w:style w:type="paragraph" w:styleId="Nadpis4">
    <w:name w:val="heading 4"/>
    <w:basedOn w:val="Normln"/>
    <w:next w:val="Normln"/>
    <w:link w:val="Nadpis4Char"/>
    <w:uiPriority w:val="9"/>
    <w:semiHidden/>
    <w:unhideWhenUsed/>
    <w:qFormat/>
    <w:rsid w:val="00F27F68"/>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F27F68"/>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F27F68"/>
    <w:pPr>
      <w:spacing w:before="240" w:after="60"/>
      <w:outlineLvl w:val="5"/>
    </w:pPr>
    <w:rPr>
      <w:b/>
      <w:bCs/>
    </w:rPr>
  </w:style>
  <w:style w:type="paragraph" w:styleId="Nadpis7">
    <w:name w:val="heading 7"/>
    <w:basedOn w:val="Normln"/>
    <w:next w:val="Normln"/>
    <w:link w:val="Nadpis7Char"/>
    <w:uiPriority w:val="9"/>
    <w:semiHidden/>
    <w:unhideWhenUsed/>
    <w:qFormat/>
    <w:rsid w:val="00F27F68"/>
    <w:pPr>
      <w:spacing w:before="240" w:after="60"/>
      <w:outlineLvl w:val="6"/>
    </w:pPr>
    <w:rPr>
      <w:sz w:val="24"/>
      <w:szCs w:val="24"/>
    </w:rPr>
  </w:style>
  <w:style w:type="paragraph" w:styleId="Nadpis8">
    <w:name w:val="heading 8"/>
    <w:basedOn w:val="Normln"/>
    <w:next w:val="Normln"/>
    <w:link w:val="Nadpis8Char"/>
    <w:uiPriority w:val="9"/>
    <w:semiHidden/>
    <w:unhideWhenUsed/>
    <w:qFormat/>
    <w:rsid w:val="00F27F68"/>
    <w:pPr>
      <w:spacing w:before="240" w:after="60"/>
      <w:outlineLvl w:val="7"/>
    </w:pPr>
    <w:rPr>
      <w:i/>
      <w:iCs/>
      <w:sz w:val="24"/>
      <w:szCs w:val="24"/>
    </w:rPr>
  </w:style>
  <w:style w:type="paragraph" w:styleId="Nadpis9">
    <w:name w:val="heading 9"/>
    <w:basedOn w:val="Normln"/>
    <w:next w:val="Normln"/>
    <w:link w:val="Nadpis9Char"/>
    <w:uiPriority w:val="9"/>
    <w:semiHidden/>
    <w:unhideWhenUsed/>
    <w:qFormat/>
    <w:rsid w:val="00F27F68"/>
    <w:pPr>
      <w:spacing w:before="240" w:after="60"/>
      <w:outlineLvl w:val="8"/>
    </w:pPr>
    <w:rPr>
      <w:rFonts w:asciiTheme="majorHAnsi" w:eastAsiaTheme="majorEastAsia" w:hAnsiTheme="majorHAnsi" w:cstheme="maj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uj nadpis1 Char"/>
    <w:link w:val="Nadpis1"/>
    <w:uiPriority w:val="9"/>
    <w:rsid w:val="00F27F68"/>
    <w:rPr>
      <w:rFonts w:ascii="Arial" w:eastAsiaTheme="majorEastAsia" w:hAnsi="Arial" w:cstheme="majorBidi"/>
      <w:b/>
      <w:bCs/>
      <w:kern w:val="32"/>
      <w:sz w:val="32"/>
      <w:szCs w:val="32"/>
    </w:rPr>
  </w:style>
  <w:style w:type="character" w:customStyle="1" w:styleId="Nadpis2Char">
    <w:name w:val="Nadpis 2 Char"/>
    <w:basedOn w:val="Standardnpsmoodstavce"/>
    <w:link w:val="Nadpis2"/>
    <w:rsid w:val="00F27F68"/>
    <w:rPr>
      <w:rFonts w:ascii="Arial" w:eastAsiaTheme="majorEastAsia" w:hAnsi="Arial" w:cs="Arial"/>
      <w:b/>
      <w:bCs/>
      <w:i/>
      <w:iCs/>
      <w:sz w:val="28"/>
      <w:szCs w:val="28"/>
    </w:rPr>
  </w:style>
  <w:style w:type="character" w:customStyle="1" w:styleId="Nadpis3Char">
    <w:name w:val="Nadpis 3 Char"/>
    <w:basedOn w:val="Standardnpsmoodstavce"/>
    <w:link w:val="Nadpis3"/>
    <w:rsid w:val="00F27F68"/>
    <w:rPr>
      <w:rFonts w:ascii="Arial" w:eastAsiaTheme="majorEastAsia" w:hAnsi="Arial" w:cs="Arial"/>
      <w:b/>
      <w:bCs/>
      <w:sz w:val="26"/>
      <w:szCs w:val="26"/>
    </w:rPr>
  </w:style>
  <w:style w:type="character" w:customStyle="1" w:styleId="Nadpis4Char">
    <w:name w:val="Nadpis 4 Char"/>
    <w:basedOn w:val="Standardnpsmoodstavce"/>
    <w:link w:val="Nadpis4"/>
    <w:uiPriority w:val="9"/>
    <w:semiHidden/>
    <w:rsid w:val="00F27F68"/>
    <w:rPr>
      <w:rFonts w:asciiTheme="minorHAnsi" w:eastAsiaTheme="minorEastAsia" w:hAnsiTheme="minorHAnsi" w:cstheme="minorBidi"/>
      <w:b/>
      <w:bCs/>
      <w:sz w:val="28"/>
      <w:szCs w:val="28"/>
      <w:lang w:eastAsia="en-US"/>
    </w:rPr>
  </w:style>
  <w:style w:type="character" w:customStyle="1" w:styleId="Nadpis5Char">
    <w:name w:val="Nadpis 5 Char"/>
    <w:basedOn w:val="Standardnpsmoodstavce"/>
    <w:link w:val="Nadpis5"/>
    <w:uiPriority w:val="9"/>
    <w:semiHidden/>
    <w:rsid w:val="00F27F68"/>
    <w:rPr>
      <w:rFonts w:asciiTheme="minorHAnsi" w:eastAsiaTheme="minorEastAsia" w:hAnsiTheme="minorHAnsi" w:cstheme="minorBidi"/>
      <w:b/>
      <w:bCs/>
      <w:i/>
      <w:iCs/>
      <w:sz w:val="26"/>
      <w:szCs w:val="26"/>
      <w:lang w:eastAsia="en-US"/>
    </w:rPr>
  </w:style>
  <w:style w:type="character" w:customStyle="1" w:styleId="Nadpis6Char">
    <w:name w:val="Nadpis 6 Char"/>
    <w:basedOn w:val="Standardnpsmoodstavce"/>
    <w:link w:val="Nadpis6"/>
    <w:uiPriority w:val="9"/>
    <w:semiHidden/>
    <w:rsid w:val="00F27F68"/>
    <w:rPr>
      <w:rFonts w:asciiTheme="minorHAnsi" w:eastAsiaTheme="minorEastAsia" w:hAnsiTheme="minorHAnsi" w:cstheme="minorBidi"/>
      <w:b/>
      <w:bCs/>
      <w:sz w:val="22"/>
      <w:szCs w:val="22"/>
      <w:lang w:eastAsia="en-US"/>
    </w:rPr>
  </w:style>
  <w:style w:type="character" w:customStyle="1" w:styleId="Nadpis7Char">
    <w:name w:val="Nadpis 7 Char"/>
    <w:basedOn w:val="Standardnpsmoodstavce"/>
    <w:link w:val="Nadpis7"/>
    <w:uiPriority w:val="9"/>
    <w:semiHidden/>
    <w:rsid w:val="00F27F68"/>
    <w:rPr>
      <w:rFonts w:asciiTheme="minorHAnsi" w:eastAsiaTheme="minorEastAsia" w:hAnsiTheme="minorHAnsi" w:cstheme="minorBidi"/>
      <w:sz w:val="24"/>
      <w:szCs w:val="24"/>
      <w:lang w:eastAsia="en-US"/>
    </w:rPr>
  </w:style>
  <w:style w:type="character" w:customStyle="1" w:styleId="Nadpis8Char">
    <w:name w:val="Nadpis 8 Char"/>
    <w:basedOn w:val="Standardnpsmoodstavce"/>
    <w:link w:val="Nadpis8"/>
    <w:uiPriority w:val="9"/>
    <w:semiHidden/>
    <w:rsid w:val="00F27F68"/>
    <w:rPr>
      <w:rFonts w:asciiTheme="minorHAnsi" w:eastAsiaTheme="minorEastAsia" w:hAnsiTheme="minorHAnsi" w:cstheme="minorBidi"/>
      <w:i/>
      <w:iCs/>
      <w:sz w:val="24"/>
      <w:szCs w:val="24"/>
      <w:lang w:eastAsia="en-US"/>
    </w:rPr>
  </w:style>
  <w:style w:type="character" w:customStyle="1" w:styleId="Nadpis9Char">
    <w:name w:val="Nadpis 9 Char"/>
    <w:basedOn w:val="Standardnpsmoodstavce"/>
    <w:link w:val="Nadpis9"/>
    <w:uiPriority w:val="9"/>
    <w:semiHidden/>
    <w:rsid w:val="00F27F68"/>
    <w:rPr>
      <w:rFonts w:asciiTheme="majorHAnsi" w:eastAsiaTheme="majorEastAsia" w:hAnsiTheme="majorHAnsi" w:cstheme="majorBidi"/>
      <w:sz w:val="22"/>
      <w:szCs w:val="22"/>
      <w:lang w:eastAsia="en-US"/>
    </w:rPr>
  </w:style>
  <w:style w:type="paragraph" w:styleId="Titulek">
    <w:name w:val="caption"/>
    <w:basedOn w:val="Normln"/>
    <w:next w:val="Normln"/>
    <w:uiPriority w:val="35"/>
    <w:semiHidden/>
    <w:unhideWhenUsed/>
    <w:qFormat/>
    <w:rsid w:val="00F27F68"/>
    <w:rPr>
      <w:b/>
      <w:bCs/>
      <w:sz w:val="20"/>
      <w:szCs w:val="20"/>
    </w:rPr>
  </w:style>
  <w:style w:type="paragraph" w:styleId="Nzev">
    <w:name w:val="Title"/>
    <w:basedOn w:val="Normln"/>
    <w:next w:val="Normln"/>
    <w:link w:val="NzevChar"/>
    <w:uiPriority w:val="10"/>
    <w:qFormat/>
    <w:rsid w:val="00F27F68"/>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F27F68"/>
    <w:rPr>
      <w:rFonts w:asciiTheme="majorHAnsi" w:eastAsiaTheme="majorEastAsia" w:hAnsiTheme="majorHAnsi" w:cstheme="majorBidi"/>
      <w:b/>
      <w:bCs/>
      <w:kern w:val="28"/>
      <w:sz w:val="32"/>
      <w:szCs w:val="32"/>
      <w:lang w:eastAsia="en-US"/>
    </w:rPr>
  </w:style>
  <w:style w:type="paragraph" w:styleId="Podtitul">
    <w:name w:val="Subtitle"/>
    <w:basedOn w:val="Normln"/>
    <w:next w:val="Normln"/>
    <w:link w:val="PodtitulChar"/>
    <w:uiPriority w:val="11"/>
    <w:qFormat/>
    <w:rsid w:val="00F27F68"/>
    <w:pPr>
      <w:spacing w:after="60"/>
      <w:jc w:val="center"/>
      <w:outlineLvl w:val="1"/>
    </w:pPr>
    <w:rPr>
      <w:rFonts w:asciiTheme="majorHAnsi" w:eastAsiaTheme="majorEastAsia" w:hAnsiTheme="majorHAnsi" w:cstheme="majorBidi"/>
      <w:sz w:val="24"/>
      <w:szCs w:val="24"/>
    </w:rPr>
  </w:style>
  <w:style w:type="character" w:customStyle="1" w:styleId="PodtitulChar">
    <w:name w:val="Podtitul Char"/>
    <w:basedOn w:val="Standardnpsmoodstavce"/>
    <w:link w:val="Podtitul"/>
    <w:uiPriority w:val="11"/>
    <w:rsid w:val="00F27F68"/>
    <w:rPr>
      <w:rFonts w:asciiTheme="majorHAnsi" w:eastAsiaTheme="majorEastAsia" w:hAnsiTheme="majorHAnsi" w:cstheme="majorBidi"/>
      <w:sz w:val="24"/>
      <w:szCs w:val="24"/>
      <w:lang w:eastAsia="en-US"/>
    </w:rPr>
  </w:style>
  <w:style w:type="character" w:styleId="Siln">
    <w:name w:val="Strong"/>
    <w:uiPriority w:val="22"/>
    <w:qFormat/>
    <w:rsid w:val="00F27F68"/>
    <w:rPr>
      <w:b/>
      <w:bCs/>
    </w:rPr>
  </w:style>
  <w:style w:type="character" w:styleId="Zvraznn">
    <w:name w:val="Emphasis"/>
    <w:uiPriority w:val="20"/>
    <w:qFormat/>
    <w:rsid w:val="00F27F68"/>
    <w:rPr>
      <w:i/>
      <w:iCs/>
    </w:rPr>
  </w:style>
  <w:style w:type="paragraph" w:styleId="Bezmezer">
    <w:name w:val="No Spacing"/>
    <w:basedOn w:val="Normln"/>
    <w:link w:val="BezmezerChar"/>
    <w:uiPriority w:val="1"/>
    <w:qFormat/>
    <w:rsid w:val="00F27F68"/>
    <w:pPr>
      <w:spacing w:after="0" w:line="240" w:lineRule="auto"/>
    </w:pPr>
  </w:style>
  <w:style w:type="character" w:customStyle="1" w:styleId="BezmezerChar">
    <w:name w:val="Bez mezer Char"/>
    <w:basedOn w:val="Standardnpsmoodstavce"/>
    <w:link w:val="Bezmezer"/>
    <w:uiPriority w:val="1"/>
    <w:rsid w:val="00F27F68"/>
    <w:rPr>
      <w:sz w:val="22"/>
      <w:szCs w:val="22"/>
      <w:lang w:eastAsia="en-US"/>
    </w:rPr>
  </w:style>
  <w:style w:type="paragraph" w:styleId="Odstavecseseznamem">
    <w:name w:val="List Paragraph"/>
    <w:basedOn w:val="Normln"/>
    <w:uiPriority w:val="34"/>
    <w:qFormat/>
    <w:rsid w:val="00F27F68"/>
    <w:pPr>
      <w:ind w:left="720"/>
      <w:contextualSpacing/>
    </w:pPr>
  </w:style>
  <w:style w:type="paragraph" w:styleId="Citace">
    <w:name w:val="Quote"/>
    <w:basedOn w:val="Normln"/>
    <w:next w:val="Normln"/>
    <w:link w:val="CitaceChar"/>
    <w:uiPriority w:val="29"/>
    <w:qFormat/>
    <w:rsid w:val="00F27F68"/>
    <w:rPr>
      <w:i/>
      <w:iCs/>
      <w:color w:val="000000" w:themeColor="text1"/>
    </w:rPr>
  </w:style>
  <w:style w:type="character" w:customStyle="1" w:styleId="CitaceChar">
    <w:name w:val="Citace Char"/>
    <w:basedOn w:val="Standardnpsmoodstavce"/>
    <w:link w:val="Citace"/>
    <w:uiPriority w:val="29"/>
    <w:rsid w:val="00F27F68"/>
    <w:rPr>
      <w:i/>
      <w:iCs/>
      <w:color w:val="000000" w:themeColor="text1"/>
      <w:sz w:val="22"/>
      <w:szCs w:val="22"/>
      <w:lang w:eastAsia="en-US"/>
    </w:rPr>
  </w:style>
  <w:style w:type="paragraph" w:styleId="Citaceintenzivn">
    <w:name w:val="Intense Quote"/>
    <w:basedOn w:val="Normln"/>
    <w:next w:val="Normln"/>
    <w:link w:val="CitaceintenzivnChar"/>
    <w:uiPriority w:val="30"/>
    <w:qFormat/>
    <w:rsid w:val="00F27F68"/>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F27F68"/>
    <w:rPr>
      <w:b/>
      <w:bCs/>
      <w:i/>
      <w:iCs/>
      <w:color w:val="4F81BD" w:themeColor="accent1"/>
      <w:sz w:val="22"/>
      <w:szCs w:val="22"/>
      <w:lang w:eastAsia="en-US"/>
    </w:rPr>
  </w:style>
  <w:style w:type="character" w:styleId="Zdraznnjemn">
    <w:name w:val="Subtle Emphasis"/>
    <w:uiPriority w:val="19"/>
    <w:qFormat/>
    <w:rsid w:val="00F27F68"/>
    <w:rPr>
      <w:i/>
      <w:iCs/>
      <w:color w:val="808080" w:themeColor="text1" w:themeTint="7F"/>
    </w:rPr>
  </w:style>
  <w:style w:type="character" w:styleId="Zdraznnintenzivn">
    <w:name w:val="Intense Emphasis"/>
    <w:uiPriority w:val="21"/>
    <w:qFormat/>
    <w:rsid w:val="00F27F68"/>
    <w:rPr>
      <w:b/>
      <w:bCs/>
      <w:i/>
      <w:iCs/>
      <w:color w:val="4F81BD" w:themeColor="accent1"/>
    </w:rPr>
  </w:style>
  <w:style w:type="character" w:styleId="Odkazjemn">
    <w:name w:val="Subtle Reference"/>
    <w:basedOn w:val="Standardnpsmoodstavce"/>
    <w:uiPriority w:val="31"/>
    <w:qFormat/>
    <w:rsid w:val="00F27F68"/>
    <w:rPr>
      <w:smallCaps/>
      <w:color w:val="C0504D" w:themeColor="accent2"/>
      <w:u w:val="single"/>
    </w:rPr>
  </w:style>
  <w:style w:type="character" w:styleId="Odkazintenzivn">
    <w:name w:val="Intense Reference"/>
    <w:uiPriority w:val="32"/>
    <w:qFormat/>
    <w:rsid w:val="00F27F68"/>
    <w:rPr>
      <w:b/>
      <w:bCs/>
      <w:smallCaps/>
      <w:color w:val="C0504D" w:themeColor="accent2"/>
      <w:spacing w:val="5"/>
      <w:u w:val="single"/>
    </w:rPr>
  </w:style>
  <w:style w:type="character" w:styleId="Nzevknihy">
    <w:name w:val="Book Title"/>
    <w:uiPriority w:val="33"/>
    <w:qFormat/>
    <w:rsid w:val="00F27F68"/>
    <w:rPr>
      <w:b/>
      <w:bCs/>
      <w:smallCaps/>
      <w:spacing w:val="5"/>
    </w:rPr>
  </w:style>
  <w:style w:type="paragraph" w:styleId="Nadpisobsahu">
    <w:name w:val="TOC Heading"/>
    <w:basedOn w:val="Nadpis1"/>
    <w:next w:val="Normln"/>
    <w:uiPriority w:val="39"/>
    <w:semiHidden/>
    <w:unhideWhenUsed/>
    <w:qFormat/>
    <w:rsid w:val="00F27F68"/>
    <w:pPr>
      <w:spacing w:line="276" w:lineRule="auto"/>
      <w:outlineLvl w:val="9"/>
    </w:pPr>
    <w:rPr>
      <w:rFonts w:asciiTheme="majorHAnsi" w:hAnsiTheme="majorHAnsi"/>
      <w:lang w:eastAsia="en-US"/>
    </w:rPr>
  </w:style>
  <w:style w:type="paragraph" w:styleId="Textbubliny">
    <w:name w:val="Balloon Text"/>
    <w:basedOn w:val="Normln"/>
    <w:link w:val="TextbublinyChar"/>
    <w:uiPriority w:val="99"/>
    <w:semiHidden/>
    <w:unhideWhenUsed/>
    <w:rsid w:val="00A54E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4EDE"/>
    <w:rPr>
      <w:rFonts w:ascii="Tahoma" w:eastAsiaTheme="minorEastAsia" w:hAnsi="Tahoma" w:cs="Tahoma"/>
      <w:sz w:val="16"/>
      <w:szCs w:val="16"/>
    </w:rPr>
  </w:style>
  <w:style w:type="paragraph" w:customStyle="1" w:styleId="Default">
    <w:name w:val="Default"/>
    <w:rsid w:val="00A54EDE"/>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782</Words>
  <Characters>4615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dc:creator>
  <cp:keywords/>
  <dc:description/>
  <cp:lastModifiedBy>sva</cp:lastModifiedBy>
  <cp:revision>3</cp:revision>
  <dcterms:created xsi:type="dcterms:W3CDTF">2012-06-27T09:50:00Z</dcterms:created>
  <dcterms:modified xsi:type="dcterms:W3CDTF">2012-06-27T13:29:00Z</dcterms:modified>
</cp:coreProperties>
</file>