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5A" w:rsidRDefault="0040005A" w:rsidP="0040005A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25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05A" w:rsidRPr="00556B74" w:rsidRDefault="0040005A" w:rsidP="0040005A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40005A" w:rsidRPr="0070105F" w:rsidRDefault="0040005A" w:rsidP="004000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70105F">
        <w:rPr>
          <w:rFonts w:ascii="Arial" w:hAnsi="Arial" w:cs="Arial"/>
          <w:sz w:val="20"/>
          <w:szCs w:val="20"/>
        </w:rPr>
        <w:t xml:space="preserve">Ing. Vlasta </w:t>
      </w:r>
      <w:proofErr w:type="spellStart"/>
      <w:r w:rsidRPr="0070105F">
        <w:rPr>
          <w:rFonts w:ascii="Arial" w:hAnsi="Arial" w:cs="Arial"/>
          <w:sz w:val="20"/>
          <w:szCs w:val="20"/>
        </w:rPr>
        <w:t>Švachová</w:t>
      </w:r>
      <w:proofErr w:type="spellEnd"/>
      <w:r w:rsidRPr="0070105F">
        <w:rPr>
          <w:rFonts w:ascii="Arial" w:hAnsi="Arial" w:cs="Arial"/>
          <w:sz w:val="20"/>
          <w:szCs w:val="20"/>
        </w:rPr>
        <w:t xml:space="preserve"> </w:t>
      </w:r>
    </w:p>
    <w:p w:rsidR="0040005A" w:rsidRPr="0070105F" w:rsidRDefault="0040005A" w:rsidP="0040005A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Datum: </w:t>
      </w:r>
      <w:r w:rsidRPr="0070105F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12. 7. </w:t>
      </w:r>
      <w:r w:rsidRPr="0070105F">
        <w:rPr>
          <w:rFonts w:ascii="Arial" w:hAnsi="Arial" w:cs="Arial"/>
          <w:sz w:val="20"/>
          <w:szCs w:val="20"/>
        </w:rPr>
        <w:t>2012</w:t>
      </w:r>
    </w:p>
    <w:p w:rsidR="0040005A" w:rsidRPr="00B60B95" w:rsidRDefault="0040005A" w:rsidP="0040005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Název: </w:t>
      </w:r>
      <w:r w:rsidRPr="0070105F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VY_32_INOVACE_9.1.5</w:t>
      </w:r>
    </w:p>
    <w:p w:rsidR="0040005A" w:rsidRPr="0070105F" w:rsidRDefault="0040005A" w:rsidP="0040005A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Číslo projektu:   </w:t>
      </w:r>
      <w:proofErr w:type="spellStart"/>
      <w:r w:rsidRPr="0070105F">
        <w:rPr>
          <w:rFonts w:ascii="Arial" w:hAnsi="Arial" w:cs="Arial"/>
          <w:sz w:val="20"/>
          <w:szCs w:val="20"/>
        </w:rPr>
        <w:t>CZ.1.07</w:t>
      </w:r>
      <w:proofErr w:type="spellEnd"/>
      <w:r w:rsidRPr="0070105F">
        <w:rPr>
          <w:rFonts w:ascii="Arial" w:hAnsi="Arial" w:cs="Arial"/>
          <w:sz w:val="20"/>
          <w:szCs w:val="20"/>
        </w:rPr>
        <w:t>/1.5.00/34.0125</w:t>
      </w:r>
    </w:p>
    <w:p w:rsidR="0040005A" w:rsidRDefault="0040005A" w:rsidP="0040005A">
      <w:pPr>
        <w:rPr>
          <w:rFonts w:ascii="Arial" w:hAnsi="Arial" w:cs="Arial"/>
          <w:b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Téma:  </w:t>
      </w:r>
      <w:r w:rsidRPr="0070105F">
        <w:rPr>
          <w:rFonts w:ascii="Arial" w:hAnsi="Arial" w:cs="Arial"/>
          <w:sz w:val="20"/>
          <w:szCs w:val="20"/>
        </w:rPr>
        <w:tab/>
      </w:r>
      <w:r w:rsidRPr="0070105F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Pr="00245939">
        <w:t>Fyzická, právnická osoba, právní subjektivita, právní úkony – pracovní list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0005A" w:rsidRPr="00B60B95" w:rsidRDefault="0040005A" w:rsidP="0040005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E3010">
        <w:rPr>
          <w:rFonts w:ascii="Arial" w:hAnsi="Arial" w:cs="Arial"/>
          <w:sz w:val="20"/>
          <w:szCs w:val="20"/>
        </w:rPr>
        <w:t xml:space="preserve">Anotace:            </w:t>
      </w:r>
      <w:r w:rsidRPr="00B60B95">
        <w:rPr>
          <w:rFonts w:ascii="Arial" w:hAnsi="Arial" w:cs="Arial"/>
          <w:sz w:val="20"/>
          <w:szCs w:val="20"/>
        </w:rPr>
        <w:t xml:space="preserve">Pracovní list slouží k procvičování </w:t>
      </w:r>
      <w:r>
        <w:rPr>
          <w:rFonts w:ascii="Arial" w:hAnsi="Arial" w:cs="Arial"/>
          <w:sz w:val="20"/>
          <w:szCs w:val="20"/>
        </w:rPr>
        <w:t xml:space="preserve">základních pojmů týkající se práva </w:t>
      </w:r>
    </w:p>
    <w:p w:rsidR="0040005A" w:rsidRPr="00B60B95" w:rsidRDefault="0040005A" w:rsidP="0040005A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Pr="00B60B95">
        <w:rPr>
          <w:rFonts w:ascii="Arial" w:hAnsi="Arial" w:cs="Arial"/>
          <w:sz w:val="20"/>
          <w:szCs w:val="20"/>
        </w:rPr>
        <w:t>Žáci interaktivně, ústně i písemně procvičují dané učivo.</w:t>
      </w:r>
    </w:p>
    <w:p w:rsidR="00441895" w:rsidRDefault="00441895"/>
    <w:p w:rsidR="0040005A" w:rsidRPr="0040005A" w:rsidRDefault="0040005A" w:rsidP="0040005A">
      <w:pPr>
        <w:outlineLvl w:val="0"/>
        <w:rPr>
          <w:rFonts w:ascii="Arial" w:hAnsi="Arial" w:cs="Arial"/>
          <w:b/>
          <w:sz w:val="20"/>
          <w:szCs w:val="20"/>
        </w:rPr>
      </w:pPr>
      <w:r w:rsidRPr="0040005A">
        <w:rPr>
          <w:rFonts w:ascii="Arial" w:hAnsi="Arial" w:cs="Arial"/>
          <w:b/>
          <w:sz w:val="20"/>
          <w:szCs w:val="20"/>
        </w:rPr>
        <w:t>Právní vztahy</w:t>
      </w:r>
    </w:p>
    <w:p w:rsidR="0040005A" w:rsidRPr="0040005A" w:rsidRDefault="0040005A" w:rsidP="004000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005A">
        <w:rPr>
          <w:rFonts w:ascii="Arial" w:hAnsi="Arial" w:cs="Arial"/>
          <w:sz w:val="20"/>
          <w:szCs w:val="20"/>
        </w:rPr>
        <w:t>Jsou vztahy upravené právními normami, kterými se účastníci těchto vztahů mají řídit.</w:t>
      </w:r>
      <w:r>
        <w:rPr>
          <w:rFonts w:ascii="Arial" w:hAnsi="Arial" w:cs="Arial"/>
          <w:sz w:val="20"/>
          <w:szCs w:val="20"/>
        </w:rPr>
        <w:t xml:space="preserve"> </w:t>
      </w:r>
      <w:r w:rsidRPr="0040005A">
        <w:rPr>
          <w:rFonts w:ascii="Arial" w:hAnsi="Arial" w:cs="Arial"/>
          <w:sz w:val="20"/>
          <w:szCs w:val="20"/>
        </w:rPr>
        <w:t>Člověk prožívá během života mnoho právních vztahů (rodinné, pracovní, majetkové), každý jedná na základě toho, co považuje za správné.</w:t>
      </w:r>
    </w:p>
    <w:p w:rsidR="0040005A" w:rsidRPr="0040005A" w:rsidRDefault="0040005A" w:rsidP="0040005A">
      <w:pPr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0005A">
        <w:rPr>
          <w:rFonts w:ascii="Arial" w:hAnsi="Arial" w:cs="Arial"/>
          <w:b/>
          <w:sz w:val="20"/>
          <w:szCs w:val="20"/>
        </w:rPr>
        <w:t>Při rozboru právního vztahu se zkoumají 3 prvky</w:t>
      </w:r>
      <w:r w:rsidRPr="0040005A">
        <w:rPr>
          <w:rFonts w:ascii="Arial" w:hAnsi="Arial" w:cs="Arial"/>
          <w:sz w:val="20"/>
          <w:szCs w:val="20"/>
        </w:rPr>
        <w:t>:</w:t>
      </w:r>
    </w:p>
    <w:p w:rsidR="0040005A" w:rsidRPr="0040005A" w:rsidRDefault="0040005A" w:rsidP="0040005A">
      <w:pPr>
        <w:numPr>
          <w:ilvl w:val="0"/>
          <w:numId w:val="1"/>
        </w:numPr>
        <w:spacing w:after="0" w:line="360" w:lineRule="auto"/>
        <w:rPr>
          <w:rFonts w:ascii="Arial" w:hAnsi="Arial" w:cs="Arial"/>
          <w:color w:val="800000"/>
          <w:sz w:val="20"/>
          <w:szCs w:val="20"/>
        </w:rPr>
      </w:pPr>
      <w:r w:rsidRPr="0040005A">
        <w:rPr>
          <w:rFonts w:ascii="Arial" w:hAnsi="Arial" w:cs="Arial"/>
          <w:b/>
          <w:color w:val="000000"/>
          <w:sz w:val="20"/>
          <w:szCs w:val="20"/>
        </w:rPr>
        <w:t>účastníci</w:t>
      </w:r>
      <w:r w:rsidRPr="0040005A">
        <w:rPr>
          <w:rFonts w:ascii="Arial" w:hAnsi="Arial" w:cs="Arial"/>
          <w:color w:val="800000"/>
          <w:sz w:val="20"/>
          <w:szCs w:val="20"/>
        </w:rPr>
        <w:t xml:space="preserve"> </w:t>
      </w:r>
      <w:r w:rsidRPr="0040005A">
        <w:rPr>
          <w:rFonts w:ascii="Arial" w:hAnsi="Arial" w:cs="Arial"/>
          <w:sz w:val="20"/>
          <w:szCs w:val="20"/>
        </w:rPr>
        <w:t>(fyzické, právnické osoby a zvláštní právnická osoba)</w:t>
      </w:r>
      <w:r>
        <w:rPr>
          <w:rFonts w:ascii="Arial" w:hAnsi="Arial" w:cs="Arial"/>
          <w:sz w:val="20"/>
          <w:szCs w:val="20"/>
        </w:rPr>
        <w:t>,</w:t>
      </w:r>
    </w:p>
    <w:p w:rsidR="0040005A" w:rsidRPr="0040005A" w:rsidRDefault="0040005A" w:rsidP="0040005A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0005A">
        <w:rPr>
          <w:rFonts w:ascii="Arial" w:hAnsi="Arial" w:cs="Arial"/>
          <w:b/>
          <w:color w:val="000000"/>
          <w:sz w:val="20"/>
          <w:szCs w:val="20"/>
        </w:rPr>
        <w:t>obsah</w:t>
      </w:r>
      <w:r w:rsidRPr="0040005A">
        <w:rPr>
          <w:rFonts w:ascii="Arial" w:hAnsi="Arial" w:cs="Arial"/>
          <w:color w:val="800000"/>
          <w:sz w:val="20"/>
          <w:szCs w:val="20"/>
        </w:rPr>
        <w:t xml:space="preserve"> </w:t>
      </w:r>
      <w:r w:rsidRPr="0040005A">
        <w:rPr>
          <w:rFonts w:ascii="Arial" w:hAnsi="Arial" w:cs="Arial"/>
          <w:sz w:val="20"/>
          <w:szCs w:val="20"/>
        </w:rPr>
        <w:t>(obsahem právního vztahu jsou práva a povinnosti účastníků)</w:t>
      </w:r>
      <w:r>
        <w:rPr>
          <w:rFonts w:ascii="Arial" w:hAnsi="Arial" w:cs="Arial"/>
          <w:sz w:val="20"/>
          <w:szCs w:val="20"/>
        </w:rPr>
        <w:t>,</w:t>
      </w:r>
    </w:p>
    <w:p w:rsidR="0040005A" w:rsidRPr="0040005A" w:rsidRDefault="0040005A" w:rsidP="0040005A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0005A">
        <w:rPr>
          <w:rFonts w:ascii="Arial" w:hAnsi="Arial" w:cs="Arial"/>
          <w:b/>
          <w:color w:val="000000"/>
          <w:sz w:val="20"/>
          <w:szCs w:val="20"/>
        </w:rPr>
        <w:t xml:space="preserve">předmět </w:t>
      </w:r>
      <w:r w:rsidRPr="0040005A">
        <w:rPr>
          <w:rFonts w:ascii="Arial" w:hAnsi="Arial" w:cs="Arial"/>
          <w:sz w:val="20"/>
          <w:szCs w:val="20"/>
        </w:rPr>
        <w:t>(cíl - účel, k němuž práva a povinnosti účastníků směřují</w:t>
      </w:r>
      <w:r>
        <w:rPr>
          <w:rFonts w:ascii="Arial" w:hAnsi="Arial" w:cs="Arial"/>
          <w:sz w:val="20"/>
          <w:szCs w:val="20"/>
        </w:rPr>
        <w:t>).</w:t>
      </w:r>
      <w:r w:rsidRPr="0040005A">
        <w:rPr>
          <w:rFonts w:ascii="Arial" w:hAnsi="Arial" w:cs="Arial"/>
          <w:sz w:val="20"/>
          <w:szCs w:val="20"/>
        </w:rPr>
        <w:t xml:space="preserve"> </w:t>
      </w:r>
    </w:p>
    <w:p w:rsidR="0040005A" w:rsidRPr="0040005A" w:rsidRDefault="0040005A" w:rsidP="0040005A">
      <w:pPr>
        <w:spacing w:line="360" w:lineRule="auto"/>
        <w:rPr>
          <w:rFonts w:ascii="Arial" w:hAnsi="Arial" w:cs="Arial"/>
          <w:color w:val="800000"/>
          <w:sz w:val="20"/>
          <w:szCs w:val="20"/>
        </w:rPr>
      </w:pP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628"/>
        <w:gridCol w:w="4140"/>
        <w:gridCol w:w="2700"/>
      </w:tblGrid>
      <w:tr w:rsidR="0040005A" w:rsidRPr="0040005A" w:rsidTr="0040005A">
        <w:tc>
          <w:tcPr>
            <w:tcW w:w="9468" w:type="dxa"/>
            <w:gridSpan w:val="3"/>
            <w:shd w:val="clear" w:color="auto" w:fill="B8CCE4" w:themeFill="accent1" w:themeFillTint="66"/>
          </w:tcPr>
          <w:p w:rsidR="0040005A" w:rsidRPr="0040005A" w:rsidRDefault="0040005A" w:rsidP="0040005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005A">
              <w:rPr>
                <w:rFonts w:ascii="Arial" w:hAnsi="Arial" w:cs="Arial"/>
                <w:b/>
                <w:color w:val="000000"/>
                <w:sz w:val="20"/>
                <w:szCs w:val="20"/>
              </w:rPr>
              <w:t>Účastníci právních vztahů</w:t>
            </w:r>
          </w:p>
        </w:tc>
      </w:tr>
      <w:tr w:rsidR="0040005A" w:rsidRPr="0040005A" w:rsidTr="00EA11FD">
        <w:trPr>
          <w:trHeight w:val="356"/>
        </w:trPr>
        <w:tc>
          <w:tcPr>
            <w:tcW w:w="2628" w:type="dxa"/>
          </w:tcPr>
          <w:p w:rsidR="0040005A" w:rsidRPr="0040005A" w:rsidRDefault="0040005A" w:rsidP="0040005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005A">
              <w:rPr>
                <w:rFonts w:ascii="Arial" w:hAnsi="Arial" w:cs="Arial"/>
                <w:b/>
                <w:color w:val="000000"/>
                <w:sz w:val="20"/>
                <w:szCs w:val="20"/>
              </w:rPr>
              <w:t>Fyzické osoby</w:t>
            </w:r>
          </w:p>
        </w:tc>
        <w:tc>
          <w:tcPr>
            <w:tcW w:w="4140" w:type="dxa"/>
          </w:tcPr>
          <w:p w:rsidR="0040005A" w:rsidRPr="0040005A" w:rsidRDefault="0040005A" w:rsidP="0040005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005A">
              <w:rPr>
                <w:rFonts w:ascii="Arial" w:hAnsi="Arial" w:cs="Arial"/>
                <w:b/>
                <w:color w:val="000000"/>
                <w:sz w:val="20"/>
                <w:szCs w:val="20"/>
              </w:rPr>
              <w:t>Právnické osoby</w:t>
            </w:r>
          </w:p>
        </w:tc>
        <w:tc>
          <w:tcPr>
            <w:tcW w:w="2700" w:type="dxa"/>
          </w:tcPr>
          <w:p w:rsidR="0040005A" w:rsidRPr="0040005A" w:rsidRDefault="0040005A" w:rsidP="0040005A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0005A">
              <w:rPr>
                <w:rFonts w:ascii="Arial" w:hAnsi="Arial" w:cs="Arial"/>
                <w:b/>
                <w:color w:val="000000"/>
                <w:sz w:val="20"/>
                <w:szCs w:val="20"/>
              </w:rPr>
              <w:t>Stát</w:t>
            </w:r>
          </w:p>
        </w:tc>
      </w:tr>
      <w:tr w:rsidR="0040005A" w:rsidRPr="0040005A" w:rsidTr="00EA11FD">
        <w:trPr>
          <w:trHeight w:val="414"/>
        </w:trPr>
        <w:tc>
          <w:tcPr>
            <w:tcW w:w="2628" w:type="dxa"/>
          </w:tcPr>
          <w:p w:rsidR="0040005A" w:rsidRPr="0040005A" w:rsidRDefault="0040005A" w:rsidP="0040005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05A">
              <w:rPr>
                <w:rFonts w:ascii="Arial" w:hAnsi="Arial" w:cs="Arial"/>
                <w:sz w:val="20"/>
                <w:szCs w:val="20"/>
              </w:rPr>
              <w:t>Jednotlivci</w:t>
            </w:r>
          </w:p>
        </w:tc>
        <w:tc>
          <w:tcPr>
            <w:tcW w:w="4140" w:type="dxa"/>
          </w:tcPr>
          <w:p w:rsidR="0040005A" w:rsidRPr="0040005A" w:rsidRDefault="0040005A" w:rsidP="0040005A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005A">
              <w:rPr>
                <w:rFonts w:ascii="Arial" w:hAnsi="Arial" w:cs="Arial"/>
                <w:sz w:val="20"/>
                <w:szCs w:val="20"/>
              </w:rPr>
              <w:t>Organizace</w:t>
            </w:r>
          </w:p>
        </w:tc>
        <w:tc>
          <w:tcPr>
            <w:tcW w:w="2700" w:type="dxa"/>
          </w:tcPr>
          <w:p w:rsidR="0040005A" w:rsidRPr="0040005A" w:rsidRDefault="0040005A" w:rsidP="0040005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40005A">
              <w:rPr>
                <w:rFonts w:ascii="Arial" w:hAnsi="Arial" w:cs="Arial"/>
                <w:sz w:val="20"/>
                <w:szCs w:val="20"/>
              </w:rPr>
              <w:t>Zvláštní právnická osoba</w:t>
            </w:r>
          </w:p>
        </w:tc>
      </w:tr>
    </w:tbl>
    <w:p w:rsidR="0040005A" w:rsidRPr="0040005A" w:rsidRDefault="0040005A" w:rsidP="0040005A">
      <w:pPr>
        <w:outlineLvl w:val="0"/>
        <w:rPr>
          <w:rFonts w:ascii="Arial" w:hAnsi="Arial" w:cs="Arial"/>
          <w:b/>
          <w:sz w:val="20"/>
          <w:szCs w:val="20"/>
        </w:rPr>
      </w:pPr>
      <w:r w:rsidRPr="0040005A">
        <w:rPr>
          <w:rFonts w:ascii="Arial" w:hAnsi="Arial" w:cs="Arial"/>
          <w:sz w:val="20"/>
          <w:szCs w:val="20"/>
        </w:rPr>
        <w:t>Jednoduchým právním vztahem je např. kupní smlouva</w:t>
      </w:r>
      <w:r>
        <w:rPr>
          <w:rFonts w:ascii="Arial" w:hAnsi="Arial" w:cs="Arial"/>
          <w:sz w:val="20"/>
          <w:szCs w:val="20"/>
        </w:rPr>
        <w:t>, která označuje</w:t>
      </w:r>
      <w:r w:rsidRPr="0040005A">
        <w:rPr>
          <w:rFonts w:ascii="Arial" w:hAnsi="Arial" w:cs="Arial"/>
          <w:sz w:val="20"/>
          <w:szCs w:val="20"/>
        </w:rPr>
        <w:t>:</w:t>
      </w:r>
      <w:r w:rsidRPr="0040005A">
        <w:rPr>
          <w:rFonts w:ascii="Arial" w:hAnsi="Arial" w:cs="Arial"/>
          <w:b/>
          <w:sz w:val="20"/>
          <w:szCs w:val="20"/>
        </w:rPr>
        <w:t xml:space="preserve"> </w:t>
      </w:r>
    </w:p>
    <w:p w:rsidR="0040005A" w:rsidRPr="0040005A" w:rsidRDefault="0040005A" w:rsidP="0040005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</w:t>
      </w:r>
      <w:r w:rsidRPr="0040005A">
        <w:rPr>
          <w:rFonts w:ascii="Arial" w:hAnsi="Arial" w:cs="Arial"/>
          <w:b/>
          <w:sz w:val="20"/>
          <w:szCs w:val="20"/>
        </w:rPr>
        <w:t>častníky -</w:t>
      </w:r>
      <w:r w:rsidRPr="0040005A">
        <w:rPr>
          <w:rFonts w:ascii="Arial" w:hAnsi="Arial" w:cs="Arial"/>
          <w:sz w:val="20"/>
          <w:szCs w:val="20"/>
        </w:rPr>
        <w:t xml:space="preserve"> kupující a prodávající</w:t>
      </w:r>
      <w:r>
        <w:rPr>
          <w:rFonts w:ascii="Arial" w:hAnsi="Arial" w:cs="Arial"/>
          <w:sz w:val="20"/>
          <w:szCs w:val="20"/>
        </w:rPr>
        <w:t>,</w:t>
      </w:r>
    </w:p>
    <w:p w:rsidR="0040005A" w:rsidRPr="0040005A" w:rsidRDefault="0040005A" w:rsidP="0040005A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40005A">
        <w:rPr>
          <w:rFonts w:ascii="Arial" w:hAnsi="Arial" w:cs="Arial"/>
          <w:b/>
          <w:sz w:val="20"/>
          <w:szCs w:val="20"/>
        </w:rPr>
        <w:t xml:space="preserve">bsah - </w:t>
      </w:r>
      <w:r w:rsidRPr="0040005A">
        <w:rPr>
          <w:rFonts w:ascii="Arial" w:hAnsi="Arial" w:cs="Arial"/>
          <w:sz w:val="20"/>
          <w:szCs w:val="20"/>
        </w:rPr>
        <w:t>povinnost kupujícího zaplatit a převzít předmět koupě a povinnost prodávajícího prodat kvalitní věc se všemi náležitostmi, které z prodeje vyplývají</w:t>
      </w:r>
      <w:r>
        <w:rPr>
          <w:rFonts w:ascii="Arial" w:hAnsi="Arial" w:cs="Arial"/>
          <w:sz w:val="20"/>
          <w:szCs w:val="20"/>
        </w:rPr>
        <w:t>,</w:t>
      </w:r>
    </w:p>
    <w:p w:rsidR="0040005A" w:rsidRPr="0040005A" w:rsidRDefault="0040005A" w:rsidP="0040005A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40005A">
        <w:rPr>
          <w:rFonts w:ascii="Arial" w:hAnsi="Arial" w:cs="Arial"/>
          <w:b/>
          <w:sz w:val="20"/>
          <w:szCs w:val="20"/>
        </w:rPr>
        <w:t>ředmětem smlouvy</w:t>
      </w:r>
      <w:r w:rsidRPr="0040005A">
        <w:rPr>
          <w:rFonts w:ascii="Arial" w:hAnsi="Arial" w:cs="Arial"/>
          <w:sz w:val="20"/>
          <w:szCs w:val="20"/>
        </w:rPr>
        <w:t xml:space="preserve"> je převedení vlastnického práva k prodávané věci nakupujícího a převedení peněz do vlastnictví prodávajícího</w:t>
      </w:r>
      <w:r>
        <w:rPr>
          <w:rFonts w:ascii="Arial" w:hAnsi="Arial" w:cs="Arial"/>
          <w:sz w:val="20"/>
          <w:szCs w:val="20"/>
        </w:rPr>
        <w:t>.</w:t>
      </w:r>
    </w:p>
    <w:p w:rsidR="0040005A" w:rsidRPr="00B91A4B" w:rsidRDefault="0040005A" w:rsidP="00B91A4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005A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26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005A">
        <w:rPr>
          <w:rFonts w:ascii="Arial" w:hAnsi="Arial" w:cs="Arial"/>
          <w:b/>
          <w:sz w:val="20"/>
          <w:szCs w:val="20"/>
        </w:rPr>
        <w:t>Fyzické osoby</w:t>
      </w:r>
    </w:p>
    <w:p w:rsidR="0040005A" w:rsidRPr="0040005A" w:rsidRDefault="0040005A" w:rsidP="004000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0005A">
        <w:rPr>
          <w:rFonts w:ascii="Arial" w:hAnsi="Arial" w:cs="Arial"/>
          <w:sz w:val="20"/>
          <w:szCs w:val="20"/>
        </w:rPr>
        <w:t>lidé</w:t>
      </w:r>
      <w:proofErr w:type="gramEnd"/>
      <w:r w:rsidRPr="0040005A">
        <w:rPr>
          <w:rFonts w:ascii="Arial" w:hAnsi="Arial" w:cs="Arial"/>
          <w:sz w:val="20"/>
          <w:szCs w:val="20"/>
        </w:rPr>
        <w:t xml:space="preserve">  u </w:t>
      </w:r>
      <w:proofErr w:type="gramStart"/>
      <w:r w:rsidRPr="0040005A">
        <w:rPr>
          <w:rFonts w:ascii="Arial" w:hAnsi="Arial" w:cs="Arial"/>
          <w:sz w:val="20"/>
          <w:szCs w:val="20"/>
        </w:rPr>
        <w:t>kterých</w:t>
      </w:r>
      <w:proofErr w:type="gramEnd"/>
      <w:r w:rsidRPr="0040005A">
        <w:rPr>
          <w:rFonts w:ascii="Arial" w:hAnsi="Arial" w:cs="Arial"/>
          <w:sz w:val="20"/>
          <w:szCs w:val="20"/>
        </w:rPr>
        <w:t xml:space="preserve"> rozlišujeme dvojí právní způsobilost k právním úkonům (=právní subjektivita)</w:t>
      </w:r>
    </w:p>
    <w:p w:rsidR="0040005A" w:rsidRPr="0040005A" w:rsidRDefault="0040005A" w:rsidP="0040005A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0005A">
        <w:rPr>
          <w:rFonts w:ascii="Arial" w:hAnsi="Arial" w:cs="Arial"/>
          <w:sz w:val="20"/>
          <w:szCs w:val="20"/>
        </w:rPr>
        <w:t xml:space="preserve"> </w:t>
      </w:r>
      <w:r w:rsidRPr="0040005A">
        <w:rPr>
          <w:rFonts w:ascii="Arial" w:hAnsi="Arial" w:cs="Arial"/>
          <w:b/>
          <w:color w:val="000000"/>
          <w:sz w:val="20"/>
          <w:szCs w:val="20"/>
        </w:rPr>
        <w:t>přímá účast v právním vztahu</w:t>
      </w:r>
      <w:r w:rsidRPr="0040005A">
        <w:rPr>
          <w:rFonts w:ascii="Arial" w:hAnsi="Arial" w:cs="Arial"/>
          <w:sz w:val="20"/>
          <w:szCs w:val="20"/>
        </w:rPr>
        <w:t>, právní subjektivita vzniká narozením a zaniká úmrtí</w:t>
      </w:r>
      <w:r>
        <w:rPr>
          <w:rFonts w:ascii="Arial" w:hAnsi="Arial" w:cs="Arial"/>
          <w:sz w:val="20"/>
          <w:szCs w:val="20"/>
        </w:rPr>
        <w:t xml:space="preserve">m </w:t>
      </w:r>
      <w:r w:rsidRPr="0040005A">
        <w:rPr>
          <w:rFonts w:ascii="Arial" w:hAnsi="Arial" w:cs="Arial"/>
          <w:sz w:val="20"/>
          <w:szCs w:val="20"/>
        </w:rPr>
        <w:t>nebo prohlášením za mrtvého</w:t>
      </w:r>
      <w:r>
        <w:rPr>
          <w:rFonts w:ascii="Arial" w:hAnsi="Arial" w:cs="Arial"/>
          <w:sz w:val="20"/>
          <w:szCs w:val="20"/>
        </w:rPr>
        <w:t>,</w:t>
      </w:r>
    </w:p>
    <w:p w:rsidR="0040005A" w:rsidRPr="0040005A" w:rsidRDefault="0040005A" w:rsidP="0040005A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0005A">
        <w:rPr>
          <w:rFonts w:ascii="Arial" w:hAnsi="Arial" w:cs="Arial"/>
          <w:b/>
          <w:color w:val="000000"/>
          <w:sz w:val="20"/>
          <w:szCs w:val="20"/>
        </w:rPr>
        <w:t xml:space="preserve">způsobilost k právním úkonům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40005A">
        <w:rPr>
          <w:rFonts w:ascii="Arial" w:hAnsi="Arial" w:cs="Arial"/>
          <w:sz w:val="20"/>
          <w:szCs w:val="20"/>
        </w:rPr>
        <w:t xml:space="preserve"> tj</w:t>
      </w:r>
      <w:r>
        <w:rPr>
          <w:rFonts w:ascii="Arial" w:hAnsi="Arial" w:cs="Arial"/>
          <w:sz w:val="20"/>
          <w:szCs w:val="20"/>
        </w:rPr>
        <w:t>.</w:t>
      </w:r>
      <w:r w:rsidRPr="0040005A">
        <w:rPr>
          <w:rFonts w:ascii="Arial" w:hAnsi="Arial" w:cs="Arial"/>
          <w:sz w:val="20"/>
          <w:szCs w:val="20"/>
        </w:rPr>
        <w:t xml:space="preserve"> vlastní jednání věková hranice 18 let - např. uzavírat smlouvy </w:t>
      </w:r>
    </w:p>
    <w:p w:rsidR="0040005A" w:rsidRPr="0040005A" w:rsidRDefault="0040005A" w:rsidP="0040005A">
      <w:pPr>
        <w:spacing w:line="360" w:lineRule="auto"/>
        <w:rPr>
          <w:rFonts w:ascii="Arial" w:hAnsi="Arial" w:cs="Arial"/>
          <w:sz w:val="20"/>
          <w:szCs w:val="20"/>
        </w:rPr>
      </w:pPr>
      <w:r w:rsidRPr="0040005A">
        <w:rPr>
          <w:rFonts w:ascii="Arial" w:hAnsi="Arial" w:cs="Arial"/>
          <w:sz w:val="20"/>
          <w:szCs w:val="20"/>
        </w:rPr>
        <w:t xml:space="preserve">Fyzické osoby může soud ze závažných důvodů, např. pro duševní poruchu, zbavit </w:t>
      </w:r>
      <w:proofErr w:type="gramStart"/>
      <w:r w:rsidRPr="0040005A">
        <w:rPr>
          <w:rFonts w:ascii="Arial" w:hAnsi="Arial" w:cs="Arial"/>
          <w:sz w:val="20"/>
          <w:szCs w:val="20"/>
        </w:rPr>
        <w:t>způsob</w:t>
      </w:r>
      <w:r>
        <w:rPr>
          <w:rFonts w:ascii="Arial" w:hAnsi="Arial" w:cs="Arial"/>
          <w:sz w:val="20"/>
          <w:szCs w:val="20"/>
        </w:rPr>
        <w:t>i</w:t>
      </w:r>
      <w:r w:rsidRPr="0040005A">
        <w:rPr>
          <w:rFonts w:ascii="Arial" w:hAnsi="Arial" w:cs="Arial"/>
          <w:sz w:val="20"/>
          <w:szCs w:val="20"/>
        </w:rPr>
        <w:t>losti  k právním</w:t>
      </w:r>
      <w:proofErr w:type="gramEnd"/>
      <w:r w:rsidRPr="0040005A">
        <w:rPr>
          <w:rFonts w:ascii="Arial" w:hAnsi="Arial" w:cs="Arial"/>
          <w:sz w:val="20"/>
          <w:szCs w:val="20"/>
        </w:rPr>
        <w:t xml:space="preserve"> úkonům (tzv. svéprávnosti) nebo jejich způsobilost omezit. Za nezletilé a nesvéprávné osoby jednají jejich jménem jejich zákonní zástupci. </w:t>
      </w:r>
    </w:p>
    <w:p w:rsidR="0040005A" w:rsidRPr="0040005A" w:rsidRDefault="0040005A" w:rsidP="0040005A">
      <w:pPr>
        <w:rPr>
          <w:rFonts w:ascii="Arial" w:hAnsi="Arial" w:cs="Arial"/>
          <w:b/>
          <w:sz w:val="20"/>
          <w:szCs w:val="20"/>
        </w:rPr>
      </w:pPr>
      <w:r w:rsidRPr="0040005A">
        <w:rPr>
          <w:rFonts w:ascii="Arial" w:hAnsi="Arial" w:cs="Arial"/>
          <w:b/>
          <w:sz w:val="20"/>
          <w:szCs w:val="20"/>
        </w:rPr>
        <w:t>Právnické osoby</w:t>
      </w:r>
    </w:p>
    <w:p w:rsidR="0040005A" w:rsidRPr="0040005A" w:rsidRDefault="0040005A" w:rsidP="0040005A">
      <w:pPr>
        <w:jc w:val="both"/>
        <w:rPr>
          <w:rFonts w:ascii="Arial" w:hAnsi="Arial" w:cs="Arial"/>
          <w:sz w:val="20"/>
          <w:szCs w:val="20"/>
        </w:rPr>
      </w:pPr>
      <w:r w:rsidRPr="0040005A">
        <w:rPr>
          <w:rFonts w:ascii="Arial" w:hAnsi="Arial" w:cs="Arial"/>
          <w:sz w:val="20"/>
          <w:szCs w:val="20"/>
        </w:rPr>
        <w:t>Jsou uměle vytvořené subjekty, které v právních vztazích vystupují a jednají jako lidé.</w:t>
      </w:r>
    </w:p>
    <w:p w:rsidR="0040005A" w:rsidRPr="0040005A" w:rsidRDefault="0040005A" w:rsidP="0040005A">
      <w:pPr>
        <w:jc w:val="both"/>
        <w:rPr>
          <w:rFonts w:ascii="Arial" w:hAnsi="Arial" w:cs="Arial"/>
          <w:sz w:val="20"/>
          <w:szCs w:val="20"/>
        </w:rPr>
      </w:pPr>
      <w:r w:rsidRPr="0040005A">
        <w:rPr>
          <w:rFonts w:ascii="Arial" w:hAnsi="Arial" w:cs="Arial"/>
          <w:sz w:val="20"/>
          <w:szCs w:val="20"/>
        </w:rPr>
        <w:t>Rozlišují se:</w:t>
      </w:r>
    </w:p>
    <w:p w:rsidR="0040005A" w:rsidRPr="0040005A" w:rsidRDefault="0040005A" w:rsidP="0040005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0005A">
        <w:rPr>
          <w:rFonts w:ascii="Arial" w:hAnsi="Arial" w:cs="Arial"/>
          <w:b/>
          <w:color w:val="000000"/>
          <w:sz w:val="20"/>
          <w:szCs w:val="20"/>
        </w:rPr>
        <w:t>společenství osob (= korporace</w:t>
      </w:r>
      <w:r w:rsidRPr="0040005A">
        <w:rPr>
          <w:rFonts w:ascii="Arial" w:hAnsi="Arial" w:cs="Arial"/>
          <w:sz w:val="20"/>
          <w:szCs w:val="20"/>
        </w:rPr>
        <w:t>) - jedná se o sdružení fyzických osob, např. obchodní společnost, družstvo, spolek,…</w:t>
      </w:r>
    </w:p>
    <w:p w:rsidR="0040005A" w:rsidRPr="0040005A" w:rsidRDefault="0040005A" w:rsidP="0040005A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0005A">
        <w:rPr>
          <w:rFonts w:ascii="Arial" w:hAnsi="Arial" w:cs="Arial"/>
          <w:sz w:val="20"/>
          <w:szCs w:val="20"/>
        </w:rPr>
        <w:t>Korporace vystupuje v právních vztazích samostatně - ne za jednotlivé fyzické osoby.</w:t>
      </w:r>
    </w:p>
    <w:p w:rsidR="0040005A" w:rsidRPr="0040005A" w:rsidRDefault="0040005A" w:rsidP="0040005A">
      <w:pPr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0005A">
        <w:rPr>
          <w:rFonts w:ascii="Arial" w:hAnsi="Arial" w:cs="Arial"/>
          <w:b/>
          <w:color w:val="000000"/>
          <w:sz w:val="20"/>
          <w:szCs w:val="20"/>
        </w:rPr>
        <w:t>společenství věcí, majetku</w:t>
      </w:r>
      <w:r w:rsidRPr="0040005A">
        <w:rPr>
          <w:rFonts w:ascii="Arial" w:hAnsi="Arial" w:cs="Arial"/>
          <w:b/>
          <w:sz w:val="20"/>
          <w:szCs w:val="20"/>
        </w:rPr>
        <w:t xml:space="preserve"> -  </w:t>
      </w:r>
      <w:r w:rsidRPr="0040005A">
        <w:rPr>
          <w:rFonts w:ascii="Arial" w:hAnsi="Arial" w:cs="Arial"/>
          <w:sz w:val="20"/>
          <w:szCs w:val="20"/>
        </w:rPr>
        <w:t xml:space="preserve">mají peněžní podstatu - nazývají se </w:t>
      </w:r>
      <w:r w:rsidRPr="0040005A">
        <w:rPr>
          <w:rFonts w:ascii="Arial" w:hAnsi="Arial" w:cs="Arial"/>
          <w:b/>
          <w:color w:val="000000"/>
          <w:sz w:val="20"/>
          <w:szCs w:val="20"/>
        </w:rPr>
        <w:t>nadace, fondy</w:t>
      </w:r>
      <w:r w:rsidRPr="0040005A">
        <w:rPr>
          <w:rFonts w:ascii="Arial" w:hAnsi="Arial" w:cs="Arial"/>
          <w:color w:val="000000"/>
          <w:sz w:val="20"/>
          <w:szCs w:val="20"/>
        </w:rPr>
        <w:t xml:space="preserve">. </w:t>
      </w:r>
      <w:r w:rsidRPr="0040005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40005A">
        <w:rPr>
          <w:rFonts w:ascii="Arial" w:hAnsi="Arial" w:cs="Arial"/>
          <w:color w:val="000000"/>
          <w:sz w:val="20"/>
          <w:szCs w:val="20"/>
        </w:rPr>
        <w:t>Zřizují se zejména k humanitním cílům a podpoře duchovních hodnot.</w:t>
      </w:r>
    </w:p>
    <w:p w:rsidR="0040005A" w:rsidRDefault="0040005A" w:rsidP="0040005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91A4B" w:rsidRDefault="0040005A" w:rsidP="00B91A4B">
      <w:pPr>
        <w:spacing w:line="360" w:lineRule="auto"/>
        <w:jc w:val="both"/>
        <w:rPr>
          <w:color w:val="000000"/>
        </w:rPr>
      </w:pPr>
      <w:r w:rsidRPr="0040005A">
        <w:rPr>
          <w:rFonts w:ascii="Arial" w:hAnsi="Arial" w:cs="Arial"/>
          <w:color w:val="000000"/>
          <w:sz w:val="20"/>
          <w:szCs w:val="20"/>
        </w:rPr>
        <w:t xml:space="preserve">Právnickými osobami jsou pouze takové organizace, které vznikly zákonným způsobem na základě písemných smluv nebo zakládacích listin zápisem do evidence, tj. do </w:t>
      </w:r>
      <w:r w:rsidRPr="0040005A">
        <w:rPr>
          <w:rFonts w:ascii="Arial" w:hAnsi="Arial" w:cs="Arial"/>
          <w:b/>
          <w:color w:val="000000"/>
          <w:sz w:val="20"/>
          <w:szCs w:val="20"/>
        </w:rPr>
        <w:t>obchodního</w:t>
      </w:r>
      <w:r w:rsidRPr="0040005A">
        <w:rPr>
          <w:rFonts w:ascii="Arial" w:hAnsi="Arial" w:cs="Arial"/>
          <w:color w:val="000000"/>
          <w:sz w:val="20"/>
          <w:szCs w:val="20"/>
        </w:rPr>
        <w:t xml:space="preserve"> </w:t>
      </w:r>
      <w:r w:rsidRPr="0040005A">
        <w:rPr>
          <w:rFonts w:ascii="Arial" w:hAnsi="Arial" w:cs="Arial"/>
          <w:b/>
          <w:color w:val="000000"/>
          <w:sz w:val="20"/>
          <w:szCs w:val="20"/>
        </w:rPr>
        <w:t>rejstříku,</w:t>
      </w:r>
      <w:r w:rsidRPr="0040005A">
        <w:rPr>
          <w:rFonts w:ascii="Arial" w:hAnsi="Arial" w:cs="Arial"/>
          <w:color w:val="000000"/>
          <w:sz w:val="20"/>
          <w:szCs w:val="20"/>
        </w:rPr>
        <w:t xml:space="preserve"> zanikají výmazem z této evidence, zpravidla po likvidaci. Při právních úkonech</w:t>
      </w:r>
      <w:r w:rsidR="00B91A4B">
        <w:rPr>
          <w:rFonts w:ascii="Arial" w:hAnsi="Arial" w:cs="Arial"/>
          <w:color w:val="000000"/>
          <w:sz w:val="20"/>
          <w:szCs w:val="20"/>
        </w:rPr>
        <w:t xml:space="preserve"> </w:t>
      </w:r>
      <w:r w:rsidR="00B91A4B">
        <w:rPr>
          <w:color w:val="000000"/>
        </w:rPr>
        <w:t xml:space="preserve">jsou právnické osoby zastupovány osobami fyzickými, které za ně jednají jejich jménem a na jejich účet - většinou jsou určeni zástupci. </w:t>
      </w:r>
      <w:r w:rsidR="00B91A4B" w:rsidRPr="001C72E3">
        <w:rPr>
          <w:color w:val="000000"/>
        </w:rPr>
        <w:t>(</w:t>
      </w:r>
      <w:r w:rsidR="00B91A4B" w:rsidRPr="00D63A6B">
        <w:rPr>
          <w:b/>
          <w:color w:val="000000"/>
        </w:rPr>
        <w:t>obchodní rejstřík</w:t>
      </w:r>
      <w:r w:rsidR="00B91A4B" w:rsidRPr="001C72E3">
        <w:rPr>
          <w:b/>
          <w:color w:val="000000"/>
        </w:rPr>
        <w:t xml:space="preserve"> </w:t>
      </w:r>
      <w:r w:rsidR="00B91A4B" w:rsidRPr="00B91A4B">
        <w:rPr>
          <w:rFonts w:ascii="Arial" w:hAnsi="Arial" w:cs="Arial"/>
          <w:color w:val="000000"/>
          <w:sz w:val="20"/>
          <w:szCs w:val="20"/>
        </w:rPr>
        <w:t>- seznam všech organizací</w:t>
      </w:r>
      <w:r w:rsidR="00B91A4B">
        <w:rPr>
          <w:rFonts w:ascii="Arial" w:hAnsi="Arial" w:cs="Arial"/>
          <w:color w:val="000000"/>
          <w:sz w:val="20"/>
          <w:szCs w:val="20"/>
        </w:rPr>
        <w:t xml:space="preserve">, které podnikají a </w:t>
      </w:r>
      <w:r w:rsidR="00B91A4B" w:rsidRPr="00B91A4B">
        <w:rPr>
          <w:rFonts w:ascii="Arial" w:hAnsi="Arial" w:cs="Arial"/>
          <w:color w:val="000000"/>
          <w:sz w:val="20"/>
          <w:szCs w:val="20"/>
        </w:rPr>
        <w:t xml:space="preserve">působí na území </w:t>
      </w:r>
      <w:proofErr w:type="gramStart"/>
      <w:r w:rsidR="00B91A4B" w:rsidRPr="00B91A4B">
        <w:rPr>
          <w:rFonts w:ascii="Arial" w:hAnsi="Arial" w:cs="Arial"/>
          <w:color w:val="000000"/>
          <w:sz w:val="20"/>
          <w:szCs w:val="20"/>
        </w:rPr>
        <w:t>ČR,</w:t>
      </w:r>
      <w:r w:rsidR="00B91A4B">
        <w:rPr>
          <w:color w:val="000000"/>
        </w:rPr>
        <w:t>m</w:t>
      </w:r>
      <w:r w:rsidR="00B91A4B" w:rsidRPr="00116E06">
        <w:rPr>
          <w:color w:val="000000"/>
        </w:rPr>
        <w:t>ají</w:t>
      </w:r>
      <w:proofErr w:type="gramEnd"/>
      <w:r w:rsidR="00B91A4B" w:rsidRPr="00116E06">
        <w:rPr>
          <w:color w:val="000000"/>
        </w:rPr>
        <w:t xml:space="preserve"> dané identifikační číslo, které jim přidělí Ministerstvo vnitra).  </w:t>
      </w:r>
    </w:p>
    <w:p w:rsidR="00B91A4B" w:rsidRDefault="00B91A4B" w:rsidP="00B91A4B">
      <w:pPr>
        <w:spacing w:line="360" w:lineRule="auto"/>
        <w:jc w:val="both"/>
        <w:rPr>
          <w:color w:val="000000"/>
        </w:rPr>
      </w:pPr>
    </w:p>
    <w:p w:rsidR="00B91A4B" w:rsidRDefault="00B91A4B" w:rsidP="00B91A4B">
      <w:pPr>
        <w:spacing w:line="360" w:lineRule="auto"/>
        <w:jc w:val="both"/>
        <w:rPr>
          <w:color w:val="000000"/>
        </w:rPr>
      </w:pPr>
    </w:p>
    <w:p w:rsidR="00B91A4B" w:rsidRDefault="00B91A4B" w:rsidP="00B91A4B">
      <w:pPr>
        <w:spacing w:line="360" w:lineRule="auto"/>
        <w:jc w:val="both"/>
        <w:rPr>
          <w:color w:val="000000"/>
        </w:rPr>
      </w:pPr>
    </w:p>
    <w:p w:rsidR="00B91A4B" w:rsidRDefault="00B91A4B" w:rsidP="00B91A4B">
      <w:pPr>
        <w:spacing w:line="360" w:lineRule="auto"/>
        <w:jc w:val="both"/>
        <w:rPr>
          <w:color w:val="000000"/>
        </w:rPr>
      </w:pPr>
    </w:p>
    <w:p w:rsidR="00B91A4B" w:rsidRDefault="00B91A4B" w:rsidP="00B91A4B">
      <w:pPr>
        <w:spacing w:line="360" w:lineRule="auto"/>
        <w:jc w:val="both"/>
        <w:rPr>
          <w:color w:val="000000"/>
        </w:rPr>
      </w:pPr>
    </w:p>
    <w:p w:rsidR="00B91A4B" w:rsidRDefault="00B91A4B" w:rsidP="00B91A4B">
      <w:pPr>
        <w:spacing w:line="360" w:lineRule="auto"/>
        <w:jc w:val="both"/>
        <w:rPr>
          <w:color w:val="000000"/>
        </w:rPr>
      </w:pPr>
    </w:p>
    <w:p w:rsidR="00B91A4B" w:rsidRPr="00B91A4B" w:rsidRDefault="00B91A4B" w:rsidP="00B91A4B">
      <w:pPr>
        <w:spacing w:line="360" w:lineRule="auto"/>
        <w:jc w:val="both"/>
        <w:rPr>
          <w:color w:val="000000"/>
        </w:rPr>
      </w:pPr>
      <w:r w:rsidRPr="00B91A4B">
        <w:rPr>
          <w:noProof/>
          <w:color w:val="000000"/>
        </w:rPr>
        <w:drawing>
          <wp:inline distT="0" distB="0" distL="0" distR="0">
            <wp:extent cx="5753100" cy="1257300"/>
            <wp:effectExtent l="19050" t="0" r="0" b="0"/>
            <wp:docPr id="27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A4B" w:rsidRDefault="00B91A4B" w:rsidP="00B91A4B">
      <w:pPr>
        <w:jc w:val="both"/>
        <w:rPr>
          <w:color w:val="000000"/>
        </w:rPr>
      </w:pPr>
    </w:p>
    <w:tbl>
      <w:tblPr>
        <w:tblpPr w:leftFromText="141" w:rightFromText="141" w:vertAnchor="text" w:horzAnchor="margin" w:tblpY="7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988"/>
        <w:gridCol w:w="3240"/>
        <w:gridCol w:w="3060"/>
      </w:tblGrid>
      <w:tr w:rsidR="00B91A4B" w:rsidRPr="00B91A4B" w:rsidTr="00B91A4B">
        <w:tc>
          <w:tcPr>
            <w:tcW w:w="9288" w:type="dxa"/>
            <w:gridSpan w:val="3"/>
            <w:shd w:val="clear" w:color="auto" w:fill="B8CCE4" w:themeFill="accent1" w:themeFillTint="66"/>
          </w:tcPr>
          <w:p w:rsidR="00B91A4B" w:rsidRPr="00B91A4B" w:rsidRDefault="00B91A4B" w:rsidP="00B91A4B">
            <w:pPr>
              <w:jc w:val="center"/>
              <w:rPr>
                <w:rFonts w:ascii="Arial" w:hAnsi="Arial" w:cs="Arial"/>
                <w:b/>
                <w:color w:val="800000"/>
                <w:sz w:val="20"/>
                <w:szCs w:val="20"/>
                <w:u w:val="single"/>
              </w:rPr>
            </w:pPr>
            <w:r w:rsidRPr="00B91A4B">
              <w:rPr>
                <w:rFonts w:ascii="Arial" w:hAnsi="Arial" w:cs="Arial"/>
                <w:b/>
                <w:sz w:val="20"/>
                <w:szCs w:val="20"/>
              </w:rPr>
              <w:t>Objekty právního vztahu</w:t>
            </w:r>
          </w:p>
        </w:tc>
      </w:tr>
      <w:tr w:rsidR="00B91A4B" w:rsidRPr="00B91A4B" w:rsidTr="00B91A4B">
        <w:trPr>
          <w:trHeight w:val="496"/>
        </w:trPr>
        <w:tc>
          <w:tcPr>
            <w:tcW w:w="9288" w:type="dxa"/>
            <w:gridSpan w:val="3"/>
          </w:tcPr>
          <w:p w:rsidR="00B91A4B" w:rsidRPr="00B91A4B" w:rsidRDefault="00B91A4B" w:rsidP="00B91A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1A4B">
              <w:rPr>
                <w:rFonts w:ascii="Arial" w:hAnsi="Arial" w:cs="Arial"/>
                <w:sz w:val="20"/>
                <w:szCs w:val="20"/>
              </w:rPr>
              <w:t>Objektem je to, k čemu směřují práva a povinnosti subjektů. Jsou příčinou vstupu subjektu do právních vztahů. K nejdůležitějším patří:</w:t>
            </w:r>
          </w:p>
        </w:tc>
      </w:tr>
      <w:tr w:rsidR="00B91A4B" w:rsidRPr="00B91A4B" w:rsidTr="00B91A4B">
        <w:trPr>
          <w:trHeight w:val="263"/>
        </w:trPr>
        <w:tc>
          <w:tcPr>
            <w:tcW w:w="2988" w:type="dxa"/>
          </w:tcPr>
          <w:p w:rsidR="00B91A4B" w:rsidRPr="00B91A4B" w:rsidRDefault="00B91A4B" w:rsidP="00B91A4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A4B">
              <w:rPr>
                <w:rFonts w:ascii="Arial" w:hAnsi="Arial" w:cs="Arial"/>
                <w:b/>
                <w:color w:val="000000"/>
                <w:sz w:val="20"/>
                <w:szCs w:val="20"/>
              </w:rPr>
              <w:t>věci</w:t>
            </w:r>
          </w:p>
          <w:p w:rsidR="00B91A4B" w:rsidRPr="00B91A4B" w:rsidRDefault="00B91A4B" w:rsidP="00B91A4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240" w:type="dxa"/>
          </w:tcPr>
          <w:p w:rsidR="00B91A4B" w:rsidRPr="00B91A4B" w:rsidRDefault="00B91A4B" w:rsidP="00B91A4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A4B">
              <w:rPr>
                <w:rFonts w:ascii="Arial" w:hAnsi="Arial" w:cs="Arial"/>
                <w:b/>
                <w:color w:val="000000"/>
                <w:sz w:val="20"/>
                <w:szCs w:val="20"/>
              </w:rPr>
              <w:t>hodnoty lidské osobnosti</w:t>
            </w:r>
          </w:p>
        </w:tc>
        <w:tc>
          <w:tcPr>
            <w:tcW w:w="3060" w:type="dxa"/>
          </w:tcPr>
          <w:p w:rsidR="00B91A4B" w:rsidRPr="00B91A4B" w:rsidRDefault="00B91A4B" w:rsidP="00B91A4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A4B">
              <w:rPr>
                <w:rFonts w:ascii="Arial" w:hAnsi="Arial" w:cs="Arial"/>
                <w:b/>
                <w:color w:val="000000"/>
                <w:sz w:val="20"/>
                <w:szCs w:val="20"/>
              </w:rPr>
              <w:t>výsledky tvůrčí činnosti</w:t>
            </w:r>
          </w:p>
          <w:p w:rsidR="00B91A4B" w:rsidRPr="00B91A4B" w:rsidRDefault="00B91A4B" w:rsidP="00B91A4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91A4B" w:rsidRPr="00B91A4B" w:rsidTr="00B91A4B">
        <w:trPr>
          <w:trHeight w:val="980"/>
        </w:trPr>
        <w:tc>
          <w:tcPr>
            <w:tcW w:w="2988" w:type="dxa"/>
          </w:tcPr>
          <w:p w:rsidR="00B91A4B" w:rsidRPr="00B91A4B" w:rsidRDefault="00B91A4B" w:rsidP="00B91A4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1A4B">
              <w:rPr>
                <w:rFonts w:ascii="Arial" w:hAnsi="Arial" w:cs="Arial"/>
                <w:b/>
                <w:sz w:val="20"/>
                <w:szCs w:val="20"/>
              </w:rPr>
              <w:t>movité</w:t>
            </w:r>
            <w:r w:rsidRPr="00B91A4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91A4B">
              <w:rPr>
                <w:rFonts w:ascii="Arial" w:hAnsi="Arial" w:cs="Arial"/>
                <w:sz w:val="20"/>
                <w:szCs w:val="20"/>
              </w:rPr>
              <w:t>hybatelné</w:t>
            </w:r>
            <w:proofErr w:type="spellEnd"/>
            <w:r w:rsidRPr="00B91A4B">
              <w:rPr>
                <w:rFonts w:ascii="Arial" w:hAnsi="Arial" w:cs="Arial"/>
                <w:sz w:val="20"/>
                <w:szCs w:val="20"/>
              </w:rPr>
              <w:t>),</w:t>
            </w:r>
          </w:p>
          <w:p w:rsidR="00B91A4B" w:rsidRPr="00B91A4B" w:rsidRDefault="00B91A4B" w:rsidP="00B91A4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1A4B">
              <w:rPr>
                <w:rFonts w:ascii="Arial" w:hAnsi="Arial" w:cs="Arial"/>
                <w:sz w:val="20"/>
                <w:szCs w:val="20"/>
              </w:rPr>
              <w:t xml:space="preserve">      např. auto</w:t>
            </w:r>
          </w:p>
          <w:p w:rsidR="00B91A4B" w:rsidRPr="00B91A4B" w:rsidRDefault="00B91A4B" w:rsidP="00B91A4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1A4B">
              <w:rPr>
                <w:rFonts w:ascii="Arial" w:hAnsi="Arial" w:cs="Arial"/>
                <w:b/>
                <w:sz w:val="20"/>
                <w:szCs w:val="20"/>
              </w:rPr>
              <w:t>nemovité</w:t>
            </w:r>
            <w:r w:rsidRPr="00B91A4B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B91A4B" w:rsidRPr="00B91A4B" w:rsidRDefault="00B91A4B" w:rsidP="00B91A4B">
            <w:p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91A4B">
              <w:rPr>
                <w:rFonts w:ascii="Arial" w:hAnsi="Arial" w:cs="Arial"/>
                <w:sz w:val="20"/>
                <w:szCs w:val="20"/>
              </w:rPr>
              <w:t>např. budovy, pozemky</w:t>
            </w:r>
          </w:p>
        </w:tc>
        <w:tc>
          <w:tcPr>
            <w:tcW w:w="3240" w:type="dxa"/>
          </w:tcPr>
          <w:p w:rsidR="00B91A4B" w:rsidRPr="00B91A4B" w:rsidRDefault="00B91A4B" w:rsidP="00B91A4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1A4B">
              <w:rPr>
                <w:rFonts w:ascii="Arial" w:hAnsi="Arial" w:cs="Arial"/>
                <w:sz w:val="20"/>
                <w:szCs w:val="20"/>
              </w:rPr>
              <w:t>čest</w:t>
            </w:r>
          </w:p>
          <w:p w:rsidR="00B91A4B" w:rsidRPr="00B91A4B" w:rsidRDefault="00B91A4B" w:rsidP="00B91A4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1A4B">
              <w:rPr>
                <w:rFonts w:ascii="Arial" w:hAnsi="Arial" w:cs="Arial"/>
                <w:sz w:val="20"/>
                <w:szCs w:val="20"/>
              </w:rPr>
              <w:t>zdraví</w:t>
            </w:r>
          </w:p>
          <w:p w:rsidR="00B91A4B" w:rsidRPr="00B91A4B" w:rsidRDefault="00B91A4B" w:rsidP="00B91A4B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1A4B">
              <w:rPr>
                <w:rFonts w:ascii="Arial" w:hAnsi="Arial" w:cs="Arial"/>
                <w:sz w:val="20"/>
                <w:szCs w:val="20"/>
              </w:rPr>
              <w:t>atd.</w:t>
            </w:r>
          </w:p>
        </w:tc>
        <w:tc>
          <w:tcPr>
            <w:tcW w:w="3060" w:type="dxa"/>
          </w:tcPr>
          <w:p w:rsidR="00B91A4B" w:rsidRPr="00B91A4B" w:rsidRDefault="00B91A4B" w:rsidP="00B91A4B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1A4B">
              <w:rPr>
                <w:rFonts w:ascii="Arial" w:hAnsi="Arial" w:cs="Arial"/>
                <w:sz w:val="20"/>
                <w:szCs w:val="20"/>
              </w:rPr>
              <w:t>vynálezy</w:t>
            </w:r>
          </w:p>
          <w:p w:rsidR="00B91A4B" w:rsidRPr="00B91A4B" w:rsidRDefault="00B91A4B" w:rsidP="00B91A4B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1A4B">
              <w:rPr>
                <w:rFonts w:ascii="Arial" w:hAnsi="Arial" w:cs="Arial"/>
                <w:sz w:val="20"/>
                <w:szCs w:val="20"/>
              </w:rPr>
              <w:t>umělecká díla</w:t>
            </w:r>
          </w:p>
          <w:p w:rsidR="00B91A4B" w:rsidRPr="00B91A4B" w:rsidRDefault="00B91A4B" w:rsidP="00B91A4B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1A4B">
              <w:rPr>
                <w:rFonts w:ascii="Arial" w:hAnsi="Arial" w:cs="Arial"/>
                <w:sz w:val="20"/>
                <w:szCs w:val="20"/>
              </w:rPr>
              <w:t>know</w:t>
            </w:r>
            <w:proofErr w:type="spellEnd"/>
            <w:r w:rsidRPr="00B91A4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B91A4B">
              <w:rPr>
                <w:rFonts w:ascii="Arial" w:hAnsi="Arial" w:cs="Arial"/>
                <w:sz w:val="20"/>
                <w:szCs w:val="20"/>
              </w:rPr>
              <w:t>how</w:t>
            </w:r>
            <w:proofErr w:type="spellEnd"/>
          </w:p>
          <w:p w:rsidR="00B91A4B" w:rsidRPr="00B91A4B" w:rsidRDefault="00B91A4B" w:rsidP="00B91A4B">
            <w:pPr>
              <w:numPr>
                <w:ilvl w:val="1"/>
                <w:numId w:val="5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1A4B">
              <w:rPr>
                <w:rFonts w:ascii="Arial" w:hAnsi="Arial" w:cs="Arial"/>
                <w:sz w:val="20"/>
                <w:szCs w:val="20"/>
              </w:rPr>
              <w:t>atd.</w:t>
            </w:r>
          </w:p>
        </w:tc>
      </w:tr>
    </w:tbl>
    <w:p w:rsidR="0040005A" w:rsidRPr="00B91A4B" w:rsidRDefault="0040005A" w:rsidP="00B91A4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0005A" w:rsidRPr="00B91A4B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6797"/>
    <w:multiLevelType w:val="hybridMultilevel"/>
    <w:tmpl w:val="9F7CDAD2"/>
    <w:lvl w:ilvl="0" w:tplc="9EF82B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47922"/>
    <w:multiLevelType w:val="hybridMultilevel"/>
    <w:tmpl w:val="54E06A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2E574D2"/>
    <w:multiLevelType w:val="hybridMultilevel"/>
    <w:tmpl w:val="28F49686"/>
    <w:lvl w:ilvl="0" w:tplc="25F8E0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3FA5DC9"/>
    <w:multiLevelType w:val="hybridMultilevel"/>
    <w:tmpl w:val="BC4406DA"/>
    <w:lvl w:ilvl="0" w:tplc="2A8E0B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FF21B34"/>
    <w:multiLevelType w:val="hybridMultilevel"/>
    <w:tmpl w:val="C62407F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40005A"/>
    <w:rsid w:val="00245939"/>
    <w:rsid w:val="0040005A"/>
    <w:rsid w:val="00441895"/>
    <w:rsid w:val="00A101D8"/>
    <w:rsid w:val="00B46F9A"/>
    <w:rsid w:val="00B91A4B"/>
    <w:rsid w:val="00B95CF3"/>
    <w:rsid w:val="00F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005A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05A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2</cp:revision>
  <dcterms:created xsi:type="dcterms:W3CDTF">2012-07-29T16:51:00Z</dcterms:created>
  <dcterms:modified xsi:type="dcterms:W3CDTF">2012-07-30T18:13:00Z</dcterms:modified>
</cp:coreProperties>
</file>