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5C632C">
        <w:t>9</w:t>
      </w:r>
      <w:r w:rsidR="004F29AC">
        <w:t>. května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3979B6">
        <w:rPr>
          <w:rFonts w:ascii="Calibri" w:eastAsia="Times New Roman" w:hAnsi="Calibri" w:cs="Calibri"/>
          <w:color w:val="000000"/>
          <w:lang w:eastAsia="cs-CZ"/>
        </w:rPr>
        <w:t>VY_32_INOVACE_7.2.8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B74231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3979B6" w:rsidRPr="003979B6">
        <w:rPr>
          <w:rFonts w:ascii="Calibri" w:eastAsia="Times New Roman" w:hAnsi="Calibri" w:cs="Calibri"/>
          <w:b/>
          <w:color w:val="000000"/>
          <w:lang w:eastAsia="cs-CZ"/>
        </w:rPr>
        <w:t>Platební schopnost podniku - pracovní list</w:t>
      </w:r>
    </w:p>
    <w:p w:rsidR="002D38CB" w:rsidRPr="001B4057" w:rsidRDefault="00A176E2" w:rsidP="001B4057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  <w:r w:rsidRPr="00A176E2">
        <w:rPr>
          <w:rStyle w:val="datalabel"/>
          <w:b/>
        </w:rPr>
        <w:t>Anotace</w:t>
      </w:r>
      <w:r w:rsidRPr="001B4057">
        <w:rPr>
          <w:rStyle w:val="datalabel"/>
          <w:rFonts w:cstheme="minorHAnsi"/>
          <w:b/>
        </w:rPr>
        <w:t>:</w:t>
      </w:r>
      <w:r w:rsidRPr="001B4057">
        <w:rPr>
          <w:rStyle w:val="datalabel"/>
          <w:rFonts w:cstheme="minorHAnsi"/>
        </w:rPr>
        <w:t xml:space="preserve"> </w:t>
      </w:r>
      <w:r w:rsidR="001B4057" w:rsidRPr="001B4057">
        <w:rPr>
          <w:rStyle w:val="datalabel"/>
          <w:rFonts w:cstheme="minorHAnsi"/>
        </w:rPr>
        <w:t xml:space="preserve"> </w:t>
      </w:r>
      <w:r w:rsidR="001B4057" w:rsidRPr="001B4057">
        <w:rPr>
          <w:rFonts w:cstheme="minorHAnsi"/>
          <w:color w:val="000000"/>
        </w:rPr>
        <w:t>Řízení platební schopnost</w:t>
      </w:r>
      <w:r w:rsidR="001B4057">
        <w:rPr>
          <w:rFonts w:cstheme="minorHAnsi"/>
          <w:color w:val="000000"/>
        </w:rPr>
        <w:t>i je</w:t>
      </w:r>
      <w:r w:rsidR="001B4057" w:rsidRPr="001B4057">
        <w:rPr>
          <w:rFonts w:cstheme="minorHAnsi"/>
          <w:color w:val="000000"/>
        </w:rPr>
        <w:t xml:space="preserve"> jeden ze strategických úkolů řízení podniku ovlivňujících jeho hodnotu. Základním předpokladem udržení plate</w:t>
      </w:r>
      <w:r w:rsidR="00576B2B">
        <w:rPr>
          <w:rFonts w:cstheme="minorHAnsi"/>
          <w:color w:val="000000"/>
        </w:rPr>
        <w:t xml:space="preserve">bní schopnosti podniku je </w:t>
      </w:r>
      <w:r w:rsidR="001B4057" w:rsidRPr="001B4057">
        <w:rPr>
          <w:rFonts w:cstheme="minorHAnsi"/>
          <w:color w:val="000000"/>
        </w:rPr>
        <w:t>odhad a řízení rizik i nákladů spojených s poskytováním obchodních úvěrů, minimalizací zásob a hotovosti, jakož i s vývojem měnového kursu.</w:t>
      </w:r>
      <w:r w:rsidR="001B4057">
        <w:rPr>
          <w:rFonts w:cstheme="minorHAnsi"/>
          <w:color w:val="000000"/>
        </w:rPr>
        <w:t xml:space="preserve"> Pracovní materi</w:t>
      </w:r>
      <w:r w:rsidR="00BD6FE2">
        <w:rPr>
          <w:rFonts w:cstheme="minorHAnsi"/>
          <w:color w:val="000000"/>
        </w:rPr>
        <w:t xml:space="preserve">ál slouží studentům k opakování, zešíření </w:t>
      </w:r>
      <w:r w:rsidR="001B4057">
        <w:rPr>
          <w:rFonts w:cstheme="minorHAnsi"/>
          <w:color w:val="000000"/>
        </w:rPr>
        <w:t>a výpočtům uvedeného tématu.</w:t>
      </w: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D50B51" w:rsidRDefault="00D50B51" w:rsidP="00830A4F">
      <w:pPr>
        <w:tabs>
          <w:tab w:val="num" w:pos="720"/>
        </w:tabs>
        <w:jc w:val="both"/>
        <w:rPr>
          <w:rStyle w:val="datalabel"/>
        </w:rPr>
      </w:pPr>
    </w:p>
    <w:p w:rsidR="00D50B51" w:rsidRDefault="00D50B51" w:rsidP="00830A4F">
      <w:pPr>
        <w:tabs>
          <w:tab w:val="num" w:pos="720"/>
        </w:tabs>
        <w:jc w:val="both"/>
        <w:rPr>
          <w:rStyle w:val="datalabel"/>
        </w:rPr>
      </w:pPr>
    </w:p>
    <w:p w:rsidR="005316E1" w:rsidRDefault="00CA29ED" w:rsidP="005316E1">
      <w:pPr>
        <w:tabs>
          <w:tab w:val="num" w:pos="720"/>
        </w:tabs>
        <w:jc w:val="both"/>
        <w:rPr>
          <w:rStyle w:val="datalabel"/>
        </w:rPr>
      </w:pPr>
      <w:r>
        <w:rPr>
          <w:rStyle w:val="datalabel"/>
        </w:rPr>
        <w:t>Pracovní list je autorsky vytvořen přímo pro učební materiál.</w:t>
      </w:r>
    </w:p>
    <w:p w:rsidR="00B74231" w:rsidRDefault="00B74231" w:rsidP="001C2BE0">
      <w:pPr>
        <w:tabs>
          <w:tab w:val="num" w:pos="720"/>
        </w:tabs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7423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Platební schopnost podniku - pracovní list</w:t>
      </w:r>
    </w:p>
    <w:p w:rsidR="005316E1" w:rsidRDefault="005316E1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5316E1">
        <w:rPr>
          <w:rFonts w:ascii="Calibri" w:eastAsia="Times New Roman" w:hAnsi="Calibri" w:cs="Calibri"/>
          <w:b/>
          <w:color w:val="000000"/>
          <w:lang w:eastAsia="cs-CZ"/>
        </w:rPr>
        <w:t>Příklad</w:t>
      </w:r>
      <w:r w:rsidR="003403BB">
        <w:rPr>
          <w:rFonts w:ascii="Calibri" w:eastAsia="Times New Roman" w:hAnsi="Calibri" w:cs="Calibri"/>
          <w:b/>
          <w:color w:val="000000"/>
          <w:lang w:eastAsia="cs-CZ"/>
        </w:rPr>
        <w:t xml:space="preserve"> </w:t>
      </w:r>
      <w:r w:rsidRPr="005316E1">
        <w:rPr>
          <w:rFonts w:ascii="Calibri" w:eastAsia="Times New Roman" w:hAnsi="Calibri" w:cs="Calibri"/>
          <w:b/>
          <w:color w:val="000000"/>
          <w:lang w:eastAsia="cs-CZ"/>
        </w:rPr>
        <w:t>1</w:t>
      </w:r>
    </w:p>
    <w:p w:rsidR="005316E1" w:rsidRDefault="00964B8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64B82">
        <w:rPr>
          <w:rFonts w:ascii="Calibri" w:eastAsia="Times New Roman" w:hAnsi="Calibri" w:cs="Calibri"/>
          <w:color w:val="000000"/>
          <w:lang w:eastAsia="cs-CZ"/>
        </w:rPr>
        <w:t>Objasněte pojem platební schopnost podniku:</w:t>
      </w:r>
      <w:r>
        <w:rPr>
          <w:rFonts w:ascii="Calibri" w:eastAsia="Times New Roman" w:hAnsi="Calibri" w:cs="Calibri"/>
          <w:color w:val="000000"/>
          <w:lang w:eastAsia="cs-CZ"/>
        </w:rPr>
        <w:t xml:space="preserve"> …………………………………………………………………………………</w:t>
      </w:r>
      <w:r w:rsidR="00532675">
        <w:rPr>
          <w:rFonts w:ascii="Calibri" w:eastAsia="Times New Roman" w:hAnsi="Calibri" w:cs="Calibri"/>
          <w:color w:val="000000"/>
          <w:lang w:eastAsia="cs-CZ"/>
        </w:rPr>
        <w:t>..</w:t>
      </w:r>
    </w:p>
    <w:p w:rsidR="00964B82" w:rsidRDefault="00964B8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1322F2" w:rsidRDefault="001322F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Opakem uvedeného pojmu je:…………………………………………………………………………………………………………….</w:t>
      </w:r>
    </w:p>
    <w:p w:rsidR="001322F2" w:rsidRDefault="001322F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Znamená to, že firma: ………………………………………………………………………………………………………………………..</w:t>
      </w:r>
    </w:p>
    <w:p w:rsidR="00964B82" w:rsidRDefault="00964B8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Objasněte pojem platební kalendář podniku: …………………………………………………………………………………</w:t>
      </w:r>
      <w:r w:rsidR="00532675">
        <w:rPr>
          <w:rFonts w:ascii="Calibri" w:eastAsia="Times New Roman" w:hAnsi="Calibri" w:cs="Calibri"/>
          <w:color w:val="000000"/>
          <w:lang w:eastAsia="cs-CZ"/>
        </w:rPr>
        <w:t>.</w:t>
      </w:r>
      <w:r>
        <w:rPr>
          <w:rFonts w:ascii="Calibri" w:eastAsia="Times New Roman" w:hAnsi="Calibri" w:cs="Calibri"/>
          <w:color w:val="000000"/>
          <w:lang w:eastAsia="cs-CZ"/>
        </w:rPr>
        <w:t>….</w:t>
      </w:r>
    </w:p>
    <w:p w:rsidR="00964B82" w:rsidRDefault="00964B8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532675" w:rsidRDefault="00F250B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Které faktory ovlivňují platební schopnost firmy: ………………………………………………………………………………..</w:t>
      </w:r>
    </w:p>
    <w:p w:rsidR="00F250B2" w:rsidRDefault="00F250B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F250B2" w:rsidRDefault="00BD6FE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Co znamená pojem likvidita: ……………………………………………………………………………………………………………….</w:t>
      </w:r>
    </w:p>
    <w:p w:rsidR="00BD6FE2" w:rsidRDefault="00BD6FE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F250B2" w:rsidRDefault="00F250B2" w:rsidP="001C2BE0">
      <w:pPr>
        <w:tabs>
          <w:tab w:val="num" w:pos="720"/>
        </w:tabs>
        <w:spacing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F250B2">
        <w:rPr>
          <w:rFonts w:ascii="Calibri" w:eastAsia="Times New Roman" w:hAnsi="Calibri" w:cs="Calibri"/>
          <w:b/>
          <w:color w:val="000000"/>
          <w:lang w:eastAsia="cs-CZ"/>
        </w:rPr>
        <w:t>Příklad 2</w:t>
      </w:r>
    </w:p>
    <w:p w:rsidR="00825E56" w:rsidRDefault="001322F2" w:rsidP="00120326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1322F2">
        <w:rPr>
          <w:rFonts w:ascii="Calibri" w:eastAsia="Times New Roman" w:hAnsi="Calibri" w:cs="Calibri"/>
          <w:color w:val="000000"/>
          <w:lang w:eastAsia="cs-CZ"/>
        </w:rPr>
        <w:t>Společnost s r.o.</w:t>
      </w:r>
      <w:r>
        <w:rPr>
          <w:rFonts w:ascii="Calibri" w:eastAsia="Times New Roman" w:hAnsi="Calibri" w:cs="Calibri"/>
          <w:color w:val="000000"/>
          <w:lang w:eastAsia="cs-CZ"/>
        </w:rPr>
        <w:t xml:space="preserve"> vydala faktury,</w:t>
      </w:r>
      <w:r w:rsidR="00120326">
        <w:rPr>
          <w:rFonts w:ascii="Calibri" w:eastAsia="Times New Roman" w:hAnsi="Calibri" w:cs="Calibri"/>
          <w:color w:val="000000"/>
          <w:lang w:eastAsia="cs-CZ"/>
        </w:rPr>
        <w:t xml:space="preserve"> dne 9. 3. jsou</w:t>
      </w:r>
      <w:r>
        <w:rPr>
          <w:rFonts w:ascii="Calibri" w:eastAsia="Times New Roman" w:hAnsi="Calibri" w:cs="Calibri"/>
          <w:color w:val="000000"/>
          <w:lang w:eastAsia="cs-CZ"/>
        </w:rPr>
        <w:t xml:space="preserve"> splatné faktury v celkové částce 800 000 Kč, další pak v částce 550 000 Kč. Na bankovním účtu má společnost 80 000 Kč. </w:t>
      </w:r>
    </w:p>
    <w:p w:rsidR="001322F2" w:rsidRDefault="001322F2" w:rsidP="00120326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Dne </w:t>
      </w:r>
      <w:r w:rsidR="00120326">
        <w:rPr>
          <w:rFonts w:ascii="Calibri" w:eastAsia="Times New Roman" w:hAnsi="Calibri" w:cs="Calibri"/>
          <w:color w:val="000000"/>
          <w:lang w:eastAsia="cs-CZ"/>
        </w:rPr>
        <w:t>5. 3</w:t>
      </w:r>
      <w:r>
        <w:rPr>
          <w:rFonts w:ascii="Calibri" w:eastAsia="Times New Roman" w:hAnsi="Calibri" w:cs="Calibri"/>
          <w:color w:val="000000"/>
          <w:lang w:eastAsia="cs-CZ"/>
        </w:rPr>
        <w:t xml:space="preserve">. je splatné pojištění ve výši 75 000 Kč, dne </w:t>
      </w:r>
      <w:r w:rsidR="00120326">
        <w:rPr>
          <w:rFonts w:ascii="Calibri" w:eastAsia="Times New Roman" w:hAnsi="Calibri" w:cs="Calibri"/>
          <w:color w:val="000000"/>
          <w:lang w:eastAsia="cs-CZ"/>
        </w:rPr>
        <w:t>10.3 výplata</w:t>
      </w:r>
      <w:r>
        <w:rPr>
          <w:rFonts w:ascii="Calibri" w:eastAsia="Times New Roman" w:hAnsi="Calibri" w:cs="Calibri"/>
          <w:color w:val="000000"/>
          <w:lang w:eastAsia="cs-CZ"/>
        </w:rPr>
        <w:t xml:space="preserve"> mezd ve výši 160 000 Kč, </w:t>
      </w:r>
      <w:r w:rsidR="00120326">
        <w:rPr>
          <w:rFonts w:ascii="Calibri" w:eastAsia="Times New Roman" w:hAnsi="Calibri" w:cs="Calibri"/>
          <w:color w:val="000000"/>
          <w:lang w:eastAsia="cs-CZ"/>
        </w:rPr>
        <w:t>18.3 faktury</w:t>
      </w:r>
      <w:r>
        <w:rPr>
          <w:rFonts w:ascii="Calibri" w:eastAsia="Times New Roman" w:hAnsi="Calibri" w:cs="Calibri"/>
          <w:color w:val="000000"/>
          <w:lang w:eastAsia="cs-CZ"/>
        </w:rPr>
        <w:t xml:space="preserve"> za nakoupené zboží ve výši 730 000 Kč, dne </w:t>
      </w:r>
      <w:r w:rsidR="00120326">
        <w:rPr>
          <w:rFonts w:ascii="Calibri" w:eastAsia="Times New Roman" w:hAnsi="Calibri" w:cs="Calibri"/>
          <w:color w:val="000000"/>
          <w:lang w:eastAsia="cs-CZ"/>
        </w:rPr>
        <w:t>24.3 daně</w:t>
      </w:r>
      <w:r>
        <w:rPr>
          <w:rFonts w:ascii="Calibri" w:eastAsia="Times New Roman" w:hAnsi="Calibri" w:cs="Calibri"/>
          <w:color w:val="000000"/>
          <w:lang w:eastAsia="cs-CZ"/>
        </w:rPr>
        <w:t xml:space="preserve"> ve výši 65 000 Kč. </w:t>
      </w:r>
    </w:p>
    <w:p w:rsidR="001322F2" w:rsidRDefault="001322F2" w:rsidP="00120326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Zpracujte platební kalendář s přesností na týdny a určete okamžik, kdy je společnost v platební </w:t>
      </w:r>
      <w:r w:rsidR="00120326">
        <w:rPr>
          <w:rFonts w:ascii="Calibri" w:eastAsia="Times New Roman" w:hAnsi="Calibri" w:cs="Calibri"/>
          <w:color w:val="000000"/>
          <w:lang w:eastAsia="cs-CZ"/>
        </w:rPr>
        <w:t>neschopnosti.</w:t>
      </w:r>
    </w:p>
    <w:p w:rsidR="0020312E" w:rsidRDefault="0020312E" w:rsidP="00120326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E68AE" w:rsidTr="004E68AE">
        <w:tc>
          <w:tcPr>
            <w:tcW w:w="2303" w:type="dxa"/>
            <w:shd w:val="clear" w:color="auto" w:fill="92CDDC" w:themeFill="accent5" w:themeFillTint="99"/>
          </w:tcPr>
          <w:p w:rsidR="004E68AE" w:rsidRPr="004E68AE" w:rsidRDefault="004E68AE" w:rsidP="004E68AE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68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Týden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4E68AE" w:rsidRPr="004E68AE" w:rsidRDefault="004E68AE" w:rsidP="004E68AE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68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Výdaje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4E68AE" w:rsidRPr="004E68AE" w:rsidRDefault="004E68AE" w:rsidP="004E68AE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68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Příjmy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4E68AE" w:rsidRPr="004E68AE" w:rsidRDefault="004E68AE" w:rsidP="004E68AE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</w:t>
            </w:r>
            <w:r w:rsidRPr="004E68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otovost</w:t>
            </w:r>
          </w:p>
        </w:tc>
      </w:tr>
      <w:tr w:rsidR="004E68AE" w:rsidTr="004E68AE"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Počáteční zůstatek</w:t>
            </w: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23B61" w:rsidRDefault="00723B61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E68AE" w:rsidTr="004E68AE"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 – 5.</w:t>
            </w: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23B61" w:rsidRDefault="00723B61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E68AE" w:rsidTr="004E68AE"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 – 12.</w:t>
            </w: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23B61" w:rsidRDefault="00723B61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E68AE" w:rsidTr="004E68AE"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 – 19.</w:t>
            </w: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23B61" w:rsidRDefault="00723B61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E68AE" w:rsidTr="004E68AE"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 – 26.</w:t>
            </w: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23B61" w:rsidRDefault="00723B61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E68AE" w:rsidTr="004E68AE"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 – 31.</w:t>
            </w: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23B61" w:rsidRDefault="00723B61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E68AE" w:rsidTr="004E68AE"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Konečný zůstatek</w:t>
            </w: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23B61" w:rsidRDefault="00723B61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4E68AE" w:rsidRDefault="004E68AE" w:rsidP="00120326">
            <w:pPr>
              <w:tabs>
                <w:tab w:val="num" w:pos="720"/>
              </w:tabs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A5A3E" w:rsidRPr="001322F2" w:rsidRDefault="00CA5A3E" w:rsidP="00120326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F250B2" w:rsidRDefault="002E6734" w:rsidP="00964B82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E6734">
        <w:rPr>
          <w:rFonts w:ascii="Calibri" w:eastAsia="Times New Roman" w:hAnsi="Calibri" w:cs="Calibri"/>
          <w:color w:val="000000"/>
          <w:lang w:eastAsia="cs-CZ"/>
        </w:rPr>
        <w:t>Jakým způsobem lze řešit okamžik platební ne</w:t>
      </w:r>
      <w:r>
        <w:rPr>
          <w:rFonts w:ascii="Calibri" w:eastAsia="Times New Roman" w:hAnsi="Calibri" w:cs="Calibri"/>
          <w:color w:val="000000"/>
          <w:lang w:eastAsia="cs-CZ"/>
        </w:rPr>
        <w:t>s</w:t>
      </w:r>
      <w:r w:rsidRPr="002E6734">
        <w:rPr>
          <w:rFonts w:ascii="Calibri" w:eastAsia="Times New Roman" w:hAnsi="Calibri" w:cs="Calibri"/>
          <w:color w:val="000000"/>
          <w:lang w:eastAsia="cs-CZ"/>
        </w:rPr>
        <w:t>chopnosti firmy?</w:t>
      </w:r>
      <w:r w:rsidR="00CF0E35">
        <w:rPr>
          <w:rFonts w:ascii="Calibri" w:eastAsia="Times New Roman" w:hAnsi="Calibri" w:cs="Calibri"/>
          <w:color w:val="000000"/>
          <w:lang w:eastAsia="cs-CZ"/>
        </w:rPr>
        <w:t xml:space="preserve"> ………………………………………………………</w:t>
      </w:r>
    </w:p>
    <w:p w:rsidR="00BD6FE2" w:rsidRPr="00964B82" w:rsidRDefault="00CF0E35" w:rsidP="00964B82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…………………………………………………………………………………………………………………………………………………………</w:t>
      </w:r>
      <w:r w:rsidR="00490F97">
        <w:rPr>
          <w:rFonts w:ascii="Calibri" w:eastAsia="Times New Roman" w:hAnsi="Calibri" w:cs="Calibri"/>
          <w:color w:val="000000"/>
          <w:lang w:eastAsia="cs-CZ"/>
        </w:rPr>
        <w:t>…</w:t>
      </w:r>
    </w:p>
    <w:p w:rsidR="00DF77CD" w:rsidRDefault="00DF77CD" w:rsidP="00DF77CD">
      <w:pPr>
        <w:tabs>
          <w:tab w:val="num" w:pos="720"/>
        </w:tabs>
        <w:spacing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lastRenderedPageBreak/>
        <w:t>Příklad 3</w:t>
      </w:r>
    </w:p>
    <w:p w:rsidR="00DF77CD" w:rsidRDefault="00DF77CD" w:rsidP="00DF77CD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Společnost vystavila faktury za prodej svých výrobků, dne 12. 3. jsou splatné faktury v celkové částce 980 000 Kč, další 25.3 v částce 650 000 Kč. Na bankovním účtu má společnost 110 000 Kč a hotovost v pokladně společnosti 25 000 Kč. </w:t>
      </w:r>
    </w:p>
    <w:p w:rsidR="00DF77CD" w:rsidRDefault="00DF77CD" w:rsidP="00DF77CD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Dne 2. 3. je splatné pojištění ve výši 5 000 Kč, 3.3. zálohy zaměstnancům vyplaceny hotově 5 000 Kč, 5.3. leasing ve výši 15 000 Kč, 6.3. splátka úvěru u banky ve výši 35 000 Kč, dne 12.3 výplata mezd ve výši 360 000 Kč, 13.3. drobný nákup a platby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źa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tisk ve výši 15 000 Kč, 14.3. firemní oběd 3 000 Kč, 18.3 faktury za nakoupené zboží ve výši 730 000 Kč, 20.3. drobný nákup v hodnotě 2 000 Kč, 21. 3. Zálohy energií ve výši 40 000 Kč, dne 24.3 daně ve výši 42 000 Kč. </w:t>
      </w:r>
    </w:p>
    <w:p w:rsidR="00DF77CD" w:rsidRDefault="00DF77CD" w:rsidP="00DF77CD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Zpracujte </w:t>
      </w:r>
      <w:r w:rsidR="00C83661">
        <w:rPr>
          <w:rFonts w:ascii="Calibri" w:eastAsia="Times New Roman" w:hAnsi="Calibri" w:cs="Calibri"/>
          <w:color w:val="000000"/>
          <w:lang w:eastAsia="cs-CZ"/>
        </w:rPr>
        <w:t xml:space="preserve">denní </w:t>
      </w:r>
      <w:r>
        <w:rPr>
          <w:rFonts w:ascii="Calibri" w:eastAsia="Times New Roman" w:hAnsi="Calibri" w:cs="Calibri"/>
          <w:color w:val="000000"/>
          <w:lang w:eastAsia="cs-CZ"/>
        </w:rPr>
        <w:t>platební kalendář určete, zda se společnost ocitne v platební neschopnosti.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F77CD" w:rsidTr="00016F87">
        <w:tc>
          <w:tcPr>
            <w:tcW w:w="2303" w:type="dxa"/>
            <w:shd w:val="clear" w:color="auto" w:fill="92CDDC" w:themeFill="accent5" w:themeFillTint="99"/>
          </w:tcPr>
          <w:p w:rsidR="00DF77CD" w:rsidRPr="004E68AE" w:rsidRDefault="00DF77CD" w:rsidP="00016F87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Den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DF77CD" w:rsidRPr="004E68AE" w:rsidRDefault="00DF77CD" w:rsidP="00016F87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68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Výdaje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DF77CD" w:rsidRPr="004E68AE" w:rsidRDefault="00DF77CD" w:rsidP="00016F87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68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Příjmy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:rsidR="00DF77CD" w:rsidRPr="004E68AE" w:rsidRDefault="00DF77CD" w:rsidP="00016F87">
            <w:p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</w:t>
            </w:r>
            <w:r w:rsidRPr="004E68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otovost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+ BÚ</w:t>
            </w: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Počáteční stav</w:t>
            </w: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77CD" w:rsidTr="00016F87"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Konečný </w:t>
            </w:r>
            <w:r w:rsidR="00C83661">
              <w:rPr>
                <w:rFonts w:ascii="Calibri" w:eastAsia="Times New Roman" w:hAnsi="Calibri" w:cs="Calibri"/>
                <w:color w:val="000000"/>
                <w:lang w:eastAsia="cs-CZ"/>
              </w:rPr>
              <w:t>zů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statek</w:t>
            </w: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3" w:type="dxa"/>
          </w:tcPr>
          <w:p w:rsidR="00DF77CD" w:rsidRDefault="00DF77CD" w:rsidP="00016F87">
            <w:pPr>
              <w:tabs>
                <w:tab w:val="num" w:pos="720"/>
              </w:tabs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F77CD" w:rsidRPr="001322F2" w:rsidRDefault="00DF77CD" w:rsidP="00DF77CD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DF77CD" w:rsidRDefault="00DF77CD" w:rsidP="00DF77CD">
      <w:pPr>
        <w:tabs>
          <w:tab w:val="num" w:pos="720"/>
        </w:tabs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E6734">
        <w:rPr>
          <w:rFonts w:ascii="Calibri" w:eastAsia="Times New Roman" w:hAnsi="Calibri" w:cs="Calibri"/>
          <w:color w:val="000000"/>
          <w:lang w:eastAsia="cs-CZ"/>
        </w:rPr>
        <w:t>Jakým způsobem lze řešit okamžik platební ne</w:t>
      </w:r>
      <w:r>
        <w:rPr>
          <w:rFonts w:ascii="Calibri" w:eastAsia="Times New Roman" w:hAnsi="Calibri" w:cs="Calibri"/>
          <w:color w:val="000000"/>
          <w:lang w:eastAsia="cs-CZ"/>
        </w:rPr>
        <w:t>s</w:t>
      </w:r>
      <w:r w:rsidRPr="002E6734">
        <w:rPr>
          <w:rFonts w:ascii="Calibri" w:eastAsia="Times New Roman" w:hAnsi="Calibri" w:cs="Calibri"/>
          <w:color w:val="000000"/>
          <w:lang w:eastAsia="cs-CZ"/>
        </w:rPr>
        <w:t>chopnosti firmy?</w:t>
      </w:r>
      <w:r>
        <w:rPr>
          <w:rFonts w:ascii="Calibri" w:eastAsia="Times New Roman" w:hAnsi="Calibri" w:cs="Calibri"/>
          <w:color w:val="000000"/>
          <w:lang w:eastAsia="cs-CZ"/>
        </w:rPr>
        <w:t xml:space="preserve"> ………………………………………………………</w:t>
      </w:r>
    </w:p>
    <w:p w:rsidR="00B74231" w:rsidRPr="00C83661" w:rsidRDefault="00DF77CD" w:rsidP="00C83661">
      <w:pPr>
        <w:tabs>
          <w:tab w:val="num" w:pos="720"/>
        </w:tabs>
        <w:spacing w:line="240" w:lineRule="auto"/>
        <w:rPr>
          <w:rStyle w:val="datalabel"/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……………………………………………………………………………………………………………………………………………………………</w:t>
      </w:r>
    </w:p>
    <w:sectPr w:rsidR="00B74231" w:rsidRPr="00C83661" w:rsidSect="00383BE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F5" w:rsidRDefault="004D58F5" w:rsidP="005763AB">
      <w:pPr>
        <w:spacing w:after="0" w:line="240" w:lineRule="auto"/>
      </w:pPr>
      <w:r>
        <w:separator/>
      </w:r>
    </w:p>
  </w:endnote>
  <w:endnote w:type="continuationSeparator" w:id="0">
    <w:p w:rsidR="004D58F5" w:rsidRDefault="004D58F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F5" w:rsidRDefault="004D58F5" w:rsidP="005763AB">
      <w:pPr>
        <w:spacing w:after="0" w:line="240" w:lineRule="auto"/>
      </w:pPr>
      <w:r>
        <w:separator/>
      </w:r>
    </w:p>
  </w:footnote>
  <w:footnote w:type="continuationSeparator" w:id="0">
    <w:p w:rsidR="004D58F5" w:rsidRDefault="004D58F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4483E"/>
    <w:rsid w:val="00077BB1"/>
    <w:rsid w:val="00091339"/>
    <w:rsid w:val="000A2FAA"/>
    <w:rsid w:val="00100AB6"/>
    <w:rsid w:val="00120326"/>
    <w:rsid w:val="00131EBD"/>
    <w:rsid w:val="001322F2"/>
    <w:rsid w:val="00145ED7"/>
    <w:rsid w:val="00150CD7"/>
    <w:rsid w:val="00187EA2"/>
    <w:rsid w:val="00196261"/>
    <w:rsid w:val="001B4057"/>
    <w:rsid w:val="001C13A5"/>
    <w:rsid w:val="001C1F25"/>
    <w:rsid w:val="001C2BE0"/>
    <w:rsid w:val="001C33FD"/>
    <w:rsid w:val="001E72ED"/>
    <w:rsid w:val="001F7803"/>
    <w:rsid w:val="0020069E"/>
    <w:rsid w:val="00202B3F"/>
    <w:rsid w:val="0020312E"/>
    <w:rsid w:val="002031DF"/>
    <w:rsid w:val="002703F4"/>
    <w:rsid w:val="00272AD8"/>
    <w:rsid w:val="002A5FE7"/>
    <w:rsid w:val="002B1303"/>
    <w:rsid w:val="002D38CB"/>
    <w:rsid w:val="002E6734"/>
    <w:rsid w:val="00300321"/>
    <w:rsid w:val="003174DE"/>
    <w:rsid w:val="003403BB"/>
    <w:rsid w:val="00353A90"/>
    <w:rsid w:val="00383BED"/>
    <w:rsid w:val="00386636"/>
    <w:rsid w:val="00395ED0"/>
    <w:rsid w:val="003979B6"/>
    <w:rsid w:val="003B3F3A"/>
    <w:rsid w:val="00404E85"/>
    <w:rsid w:val="00422936"/>
    <w:rsid w:val="004562FA"/>
    <w:rsid w:val="00480B87"/>
    <w:rsid w:val="00490F97"/>
    <w:rsid w:val="004C53A7"/>
    <w:rsid w:val="004D58F5"/>
    <w:rsid w:val="004E68AE"/>
    <w:rsid w:val="004F29AC"/>
    <w:rsid w:val="00500AE9"/>
    <w:rsid w:val="00507AFD"/>
    <w:rsid w:val="005316E1"/>
    <w:rsid w:val="00532675"/>
    <w:rsid w:val="00532EC9"/>
    <w:rsid w:val="005422B1"/>
    <w:rsid w:val="0057442E"/>
    <w:rsid w:val="005763AB"/>
    <w:rsid w:val="00576B2B"/>
    <w:rsid w:val="005C21B6"/>
    <w:rsid w:val="005C632C"/>
    <w:rsid w:val="005F1FE9"/>
    <w:rsid w:val="0063383B"/>
    <w:rsid w:val="00660743"/>
    <w:rsid w:val="00680C7B"/>
    <w:rsid w:val="0068736D"/>
    <w:rsid w:val="006E15AC"/>
    <w:rsid w:val="006E73A8"/>
    <w:rsid w:val="00723B61"/>
    <w:rsid w:val="00726B52"/>
    <w:rsid w:val="00737199"/>
    <w:rsid w:val="00787578"/>
    <w:rsid w:val="007A096D"/>
    <w:rsid w:val="007B651D"/>
    <w:rsid w:val="007D4BC8"/>
    <w:rsid w:val="00820183"/>
    <w:rsid w:val="00825E56"/>
    <w:rsid w:val="00830A4F"/>
    <w:rsid w:val="00866715"/>
    <w:rsid w:val="00880A6A"/>
    <w:rsid w:val="008C6E96"/>
    <w:rsid w:val="008D2306"/>
    <w:rsid w:val="00915DD7"/>
    <w:rsid w:val="00926F4F"/>
    <w:rsid w:val="00933F15"/>
    <w:rsid w:val="00946227"/>
    <w:rsid w:val="00964B82"/>
    <w:rsid w:val="00980147"/>
    <w:rsid w:val="009A26CD"/>
    <w:rsid w:val="009B4EE5"/>
    <w:rsid w:val="009E767B"/>
    <w:rsid w:val="00A10870"/>
    <w:rsid w:val="00A176E2"/>
    <w:rsid w:val="00A245F1"/>
    <w:rsid w:val="00A37DAA"/>
    <w:rsid w:val="00A53998"/>
    <w:rsid w:val="00A62BB6"/>
    <w:rsid w:val="00A922C5"/>
    <w:rsid w:val="00A92603"/>
    <w:rsid w:val="00AB0EB7"/>
    <w:rsid w:val="00B302C6"/>
    <w:rsid w:val="00B537B5"/>
    <w:rsid w:val="00B74231"/>
    <w:rsid w:val="00BC0875"/>
    <w:rsid w:val="00BD6FE2"/>
    <w:rsid w:val="00C00152"/>
    <w:rsid w:val="00C01500"/>
    <w:rsid w:val="00C05C7B"/>
    <w:rsid w:val="00C06EE6"/>
    <w:rsid w:val="00C83661"/>
    <w:rsid w:val="00C873DA"/>
    <w:rsid w:val="00CA29ED"/>
    <w:rsid w:val="00CA5A3E"/>
    <w:rsid w:val="00CC211A"/>
    <w:rsid w:val="00CC7782"/>
    <w:rsid w:val="00CD3666"/>
    <w:rsid w:val="00CD6EF5"/>
    <w:rsid w:val="00CF0E35"/>
    <w:rsid w:val="00CF6A8F"/>
    <w:rsid w:val="00D12A4A"/>
    <w:rsid w:val="00D43C32"/>
    <w:rsid w:val="00D50B51"/>
    <w:rsid w:val="00D51DD7"/>
    <w:rsid w:val="00D76528"/>
    <w:rsid w:val="00D8580A"/>
    <w:rsid w:val="00D93CCC"/>
    <w:rsid w:val="00DF77CD"/>
    <w:rsid w:val="00E36A7F"/>
    <w:rsid w:val="00E51F0A"/>
    <w:rsid w:val="00E7155D"/>
    <w:rsid w:val="00E85282"/>
    <w:rsid w:val="00EB1926"/>
    <w:rsid w:val="00EB4CBF"/>
    <w:rsid w:val="00EC4298"/>
    <w:rsid w:val="00EC4618"/>
    <w:rsid w:val="00EE2F7A"/>
    <w:rsid w:val="00F1090E"/>
    <w:rsid w:val="00F250B2"/>
    <w:rsid w:val="00F25DFF"/>
    <w:rsid w:val="00F402D1"/>
    <w:rsid w:val="00F93861"/>
    <w:rsid w:val="00FA0DB0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B5B8-2D6E-40E0-9845-FBDA8584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24</cp:revision>
  <dcterms:created xsi:type="dcterms:W3CDTF">2012-06-11T19:36:00Z</dcterms:created>
  <dcterms:modified xsi:type="dcterms:W3CDTF">2012-06-27T04:17:00Z</dcterms:modified>
</cp:coreProperties>
</file>