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EE1D5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. </w:t>
      </w:r>
      <w:r w:rsidR="007276D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46FA3">
        <w:rPr>
          <w:rFonts w:ascii="Arial" w:eastAsia="Times New Roman" w:hAnsi="Arial" w:cs="Arial"/>
          <w:color w:val="000000"/>
          <w:lang w:eastAsia="cs-CZ"/>
        </w:rPr>
        <w:t>3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A34AB1" w:rsidRDefault="003555CC" w:rsidP="003555CC">
      <w:pPr>
        <w:rPr>
          <w:rStyle w:val="datalabel"/>
          <w:rFonts w:ascii="Arial" w:eastAsia="Times New Roman" w:hAnsi="Arial" w:cs="Arial"/>
          <w:color w:val="000000"/>
          <w:sz w:val="24"/>
          <w:szCs w:val="24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46FA3" w:rsidRPr="00846FA3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Nabídky bankovních subjektů - bankovní účty - pracovní list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</w:t>
      </w:r>
    </w:p>
    <w:p w:rsidR="003555CC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</w:t>
      </w:r>
      <w:r w:rsidR="00A34AB1">
        <w:rPr>
          <w:rStyle w:val="datalabel"/>
          <w:rFonts w:ascii="Arial" w:hAnsi="Arial" w:cs="Arial"/>
          <w:sz w:val="24"/>
          <w:szCs w:val="24"/>
        </w:rPr>
        <w:t xml:space="preserve">, aby pochopili, jaké služby jsou nabízeny  </w:t>
      </w:r>
      <w:r w:rsidR="00CC5F84">
        <w:rPr>
          <w:rStyle w:val="datalabel"/>
          <w:rFonts w:ascii="Arial" w:hAnsi="Arial" w:cs="Arial"/>
          <w:sz w:val="24"/>
          <w:szCs w:val="24"/>
        </w:rPr>
        <w:tab/>
      </w:r>
      <w:r w:rsidR="00CC5F84"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A34AB1">
        <w:rPr>
          <w:rStyle w:val="datalabel"/>
          <w:rFonts w:ascii="Arial" w:hAnsi="Arial" w:cs="Arial"/>
          <w:sz w:val="24"/>
          <w:szCs w:val="24"/>
        </w:rPr>
        <w:t xml:space="preserve">bankovními subjekty.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4335C0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EE1D59" w:rsidRPr="009B2E0C" w:rsidRDefault="00EE1D59" w:rsidP="009B2E0C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</w:pPr>
      <w:r w:rsidRPr="00EE1D5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  <w:lastRenderedPageBreak/>
        <w:t xml:space="preserve">Pracovní list - </w:t>
      </w:r>
      <w:r w:rsidR="007276DB" w:rsidRPr="00EE1D5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  <w:t xml:space="preserve">Nabídky bankovních subjektů - bankovní účty </w:t>
      </w:r>
    </w:p>
    <w:p w:rsidR="00EE1D59" w:rsidRPr="00541A58" w:rsidRDefault="00EE1D59" w:rsidP="00EE1D59">
      <w:pPr>
        <w:pStyle w:val="Nadpis5"/>
        <w:keepLines w:val="0"/>
        <w:numPr>
          <w:ilvl w:val="8"/>
          <w:numId w:val="6"/>
        </w:numPr>
        <w:tabs>
          <w:tab w:val="left" w:pos="284"/>
        </w:tabs>
        <w:spacing w:before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541A58">
        <w:rPr>
          <w:rFonts w:ascii="Arial" w:hAnsi="Arial" w:cs="Arial"/>
          <w:b/>
          <w:color w:val="000000" w:themeColor="text1"/>
          <w:u w:val="single"/>
        </w:rPr>
        <w:t>Bankovní účty</w:t>
      </w:r>
    </w:p>
    <w:p w:rsidR="00EE1D59" w:rsidRPr="00D21922" w:rsidRDefault="00EE1D59" w:rsidP="00EE1D59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:rsidR="00EE1D59" w:rsidRPr="00FB184D" w:rsidRDefault="00EE1D59" w:rsidP="00FB184D">
      <w:pPr>
        <w:pStyle w:val="Zkladntext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830DE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Banky vedou účty na základě písemné smlouvy o zřízení a vedení účtu. </w:t>
      </w:r>
      <w:r w:rsidRPr="00FB184D">
        <w:rPr>
          <w:rFonts w:ascii="Arial" w:hAnsi="Arial" w:cs="Arial"/>
          <w:color w:val="000000" w:themeColor="text1"/>
          <w:sz w:val="22"/>
          <w:szCs w:val="22"/>
        </w:rPr>
        <w:t>K založení účtu je třeba doložit různé doklady:</w:t>
      </w:r>
    </w:p>
    <w:p w:rsidR="00EE1D59" w:rsidRPr="00830DE1" w:rsidRDefault="00EE1D59" w:rsidP="00EE1D59">
      <w:pPr>
        <w:pStyle w:val="Zkladntex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EE1D59" w:rsidRPr="00830DE1" w:rsidRDefault="00EE1D59" w:rsidP="00EE1D59">
      <w:pPr>
        <w:numPr>
          <w:ilvl w:val="0"/>
          <w:numId w:val="10"/>
        </w:numPr>
        <w:tabs>
          <w:tab w:val="left" w:pos="78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FB184D">
        <w:rPr>
          <w:rFonts w:ascii="Arial" w:hAnsi="Arial" w:cs="Arial"/>
          <w:b/>
          <w:bCs/>
          <w:i/>
          <w:iCs/>
          <w:color w:val="000000" w:themeColor="text1"/>
        </w:rPr>
        <w:t>občan</w:t>
      </w:r>
      <w:r w:rsidRPr="00FB184D">
        <w:rPr>
          <w:rFonts w:ascii="Arial" w:hAnsi="Arial" w:cs="Arial"/>
          <w:b/>
          <w:bCs/>
          <w:color w:val="000000" w:themeColor="text1"/>
        </w:rPr>
        <w:t xml:space="preserve"> </w:t>
      </w:r>
      <w:r w:rsidRPr="00830DE1">
        <w:rPr>
          <w:rFonts w:ascii="Arial" w:hAnsi="Arial" w:cs="Arial"/>
          <w:bCs/>
          <w:color w:val="000000" w:themeColor="text1"/>
        </w:rPr>
        <w:t xml:space="preserve">dokládá </w:t>
      </w:r>
      <w:r w:rsidRPr="00FB184D">
        <w:rPr>
          <w:rFonts w:ascii="Arial" w:hAnsi="Arial" w:cs="Arial"/>
          <w:bCs/>
          <w:color w:val="000000" w:themeColor="text1"/>
        </w:rPr>
        <w:t>občanský průkaz</w:t>
      </w:r>
      <w:r w:rsidRPr="00830DE1">
        <w:rPr>
          <w:rFonts w:ascii="Arial" w:hAnsi="Arial" w:cs="Arial"/>
          <w:bCs/>
          <w:color w:val="000000" w:themeColor="text1"/>
        </w:rPr>
        <w:t>,</w:t>
      </w:r>
    </w:p>
    <w:p w:rsidR="00EE1D59" w:rsidRPr="00830DE1" w:rsidRDefault="00EE1D59" w:rsidP="00EE1D59">
      <w:pPr>
        <w:numPr>
          <w:ilvl w:val="0"/>
          <w:numId w:val="10"/>
        </w:numPr>
        <w:tabs>
          <w:tab w:val="left" w:pos="78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FB184D">
        <w:rPr>
          <w:rFonts w:ascii="Arial" w:hAnsi="Arial" w:cs="Arial"/>
          <w:b/>
          <w:bCs/>
          <w:i/>
          <w:iCs/>
          <w:color w:val="000000" w:themeColor="text1"/>
        </w:rPr>
        <w:t>podnikatel</w:t>
      </w:r>
      <w:r w:rsidRPr="00830DE1">
        <w:rPr>
          <w:rFonts w:ascii="Arial" w:hAnsi="Arial" w:cs="Arial"/>
          <w:bCs/>
          <w:color w:val="000000" w:themeColor="text1"/>
        </w:rPr>
        <w:t xml:space="preserve"> musí doložit </w:t>
      </w:r>
      <w:r w:rsidR="00FB184D">
        <w:rPr>
          <w:rFonts w:ascii="Arial" w:hAnsi="Arial" w:cs="Arial"/>
          <w:bCs/>
          <w:color w:val="000000" w:themeColor="text1"/>
        </w:rPr>
        <w:t>výpis z živnostenského rejstříku</w:t>
      </w:r>
      <w:r w:rsidRPr="00830DE1">
        <w:rPr>
          <w:rFonts w:ascii="Arial" w:hAnsi="Arial" w:cs="Arial"/>
          <w:bCs/>
          <w:color w:val="000000" w:themeColor="text1"/>
        </w:rPr>
        <w:t>, příp. koncesní listinu, výpis z obchodního rejstříku a další vyžádané doklady.</w:t>
      </w:r>
    </w:p>
    <w:p w:rsidR="00FB184D" w:rsidRDefault="00FB184D" w:rsidP="00EE1D59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EE1D59" w:rsidRPr="00D21922" w:rsidRDefault="00EE1D59" w:rsidP="00EE1D59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B2E0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Zásadní rozdíl mezi </w:t>
      </w:r>
      <w:proofErr w:type="gramStart"/>
      <w:r w:rsidRPr="009B2E0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účty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 :</w:t>
      </w:r>
      <w:proofErr w:type="gramEnd"/>
    </w:p>
    <w:p w:rsidR="00EE1D59" w:rsidRPr="00830DE1" w:rsidRDefault="00EE1D59" w:rsidP="00EE1D59">
      <w:pPr>
        <w:numPr>
          <w:ilvl w:val="0"/>
          <w:numId w:val="8"/>
        </w:numPr>
        <w:tabs>
          <w:tab w:val="left" w:pos="78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9B2E0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účty obyvatelstva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 –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30DE1">
        <w:rPr>
          <w:rFonts w:ascii="Arial" w:hAnsi="Arial" w:cs="Arial"/>
          <w:bCs/>
          <w:color w:val="000000" w:themeColor="text1"/>
        </w:rPr>
        <w:t xml:space="preserve">na těchto účtech </w:t>
      </w:r>
      <w:r w:rsidRPr="00830DE1">
        <w:rPr>
          <w:rFonts w:ascii="Arial" w:hAnsi="Arial" w:cs="Arial"/>
          <w:b/>
          <w:bCs/>
          <w:color w:val="000000" w:themeColor="text1"/>
        </w:rPr>
        <w:t>je banka povinna srazit daň</w:t>
      </w:r>
      <w:r w:rsidRPr="00830DE1">
        <w:rPr>
          <w:rFonts w:ascii="Arial" w:hAnsi="Arial" w:cs="Arial"/>
          <w:bCs/>
          <w:color w:val="000000" w:themeColor="text1"/>
        </w:rPr>
        <w:t xml:space="preserve"> a odvést ji za majitele účtu. Obvykle jsou na těchto účtech nižší poplatky než u účtů podnikatelů.</w:t>
      </w:r>
    </w:p>
    <w:p w:rsidR="00EE1D59" w:rsidRPr="00830DE1" w:rsidRDefault="00EE1D59" w:rsidP="00EE1D59">
      <w:pPr>
        <w:tabs>
          <w:tab w:val="left" w:pos="780"/>
        </w:tabs>
        <w:suppressAutoHyphens/>
        <w:spacing w:after="0" w:line="240" w:lineRule="auto"/>
        <w:ind w:left="780"/>
        <w:jc w:val="both"/>
        <w:rPr>
          <w:rFonts w:ascii="Arial" w:hAnsi="Arial" w:cs="Arial"/>
          <w:bCs/>
          <w:color w:val="000000" w:themeColor="text1"/>
          <w:u w:val="single"/>
        </w:rPr>
      </w:pPr>
    </w:p>
    <w:p w:rsidR="00EE1D59" w:rsidRPr="00830DE1" w:rsidRDefault="00EE1D59" w:rsidP="00EE1D59">
      <w:pPr>
        <w:numPr>
          <w:ilvl w:val="0"/>
          <w:numId w:val="8"/>
        </w:numPr>
        <w:tabs>
          <w:tab w:val="left" w:pos="78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9B2E0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úč</w:t>
      </w:r>
      <w:r w:rsidRPr="009B2E0C">
        <w:rPr>
          <w:rFonts w:ascii="Arial" w:hAnsi="Arial" w:cs="Arial"/>
          <w:b/>
          <w:bCs/>
          <w:color w:val="000000" w:themeColor="text1"/>
          <w:u w:val="single"/>
        </w:rPr>
        <w:t>ty</w:t>
      </w:r>
      <w:r w:rsidRPr="009B2E0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podnikatele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Pr="00830DE1">
        <w:rPr>
          <w:rFonts w:ascii="Arial" w:hAnsi="Arial" w:cs="Arial"/>
          <w:bCs/>
          <w:color w:val="000000" w:themeColor="text1"/>
        </w:rPr>
        <w:t xml:space="preserve">na těchto účtech </w:t>
      </w:r>
      <w:r w:rsidRPr="00830DE1">
        <w:rPr>
          <w:rFonts w:ascii="Arial" w:hAnsi="Arial" w:cs="Arial"/>
          <w:b/>
          <w:bCs/>
          <w:color w:val="000000" w:themeColor="text1"/>
        </w:rPr>
        <w:t>není srážena daň z úroků</w:t>
      </w:r>
      <w:r w:rsidRPr="00830DE1">
        <w:rPr>
          <w:rFonts w:ascii="Arial" w:hAnsi="Arial" w:cs="Arial"/>
          <w:bCs/>
          <w:color w:val="000000" w:themeColor="text1"/>
        </w:rPr>
        <w:t>.</w:t>
      </w:r>
      <w:r w:rsidRPr="00830DE1">
        <w:rPr>
          <w:rFonts w:ascii="Arial" w:hAnsi="Arial" w:cs="Arial"/>
          <w:bCs/>
          <w:color w:val="000000" w:themeColor="text1"/>
          <w:u w:val="single"/>
        </w:rPr>
        <w:t xml:space="preserve"> </w:t>
      </w:r>
    </w:p>
    <w:p w:rsidR="00EE1D59" w:rsidRPr="00830DE1" w:rsidRDefault="00EE1D59" w:rsidP="00EE1D59">
      <w:pPr>
        <w:jc w:val="both"/>
        <w:rPr>
          <w:rFonts w:ascii="Arial" w:hAnsi="Arial" w:cs="Arial"/>
          <w:bCs/>
          <w:color w:val="000000" w:themeColor="text1"/>
        </w:rPr>
      </w:pPr>
    </w:p>
    <w:p w:rsidR="00EE1D59" w:rsidRPr="00830DE1" w:rsidRDefault="00EE1D59" w:rsidP="00EE1D59">
      <w:pPr>
        <w:jc w:val="both"/>
        <w:rPr>
          <w:rFonts w:ascii="Arial" w:hAnsi="Arial" w:cs="Arial"/>
          <w:bCs/>
          <w:color w:val="000000" w:themeColor="text1"/>
        </w:rPr>
      </w:pPr>
      <w:r w:rsidRPr="00830DE1">
        <w:rPr>
          <w:rFonts w:ascii="Arial" w:hAnsi="Arial" w:cs="Arial"/>
          <w:bCs/>
          <w:color w:val="000000" w:themeColor="text1"/>
        </w:rPr>
        <w:t xml:space="preserve">Při zakládání účtu se současně vytváří </w:t>
      </w:r>
      <w:r w:rsidRPr="00830DE1">
        <w:rPr>
          <w:rFonts w:ascii="Arial" w:hAnsi="Arial" w:cs="Arial"/>
          <w:b/>
          <w:bCs/>
          <w:i/>
          <w:iCs/>
          <w:color w:val="000000" w:themeColor="text1"/>
        </w:rPr>
        <w:t>podpisový vzor</w:t>
      </w:r>
      <w:r w:rsidRPr="00830DE1">
        <w:rPr>
          <w:rFonts w:ascii="Arial" w:hAnsi="Arial" w:cs="Arial"/>
          <w:bCs/>
          <w:color w:val="000000" w:themeColor="text1"/>
        </w:rPr>
        <w:t xml:space="preserve"> pro ty, kteří budou mít právo s účtem nakládat. </w:t>
      </w:r>
    </w:p>
    <w:p w:rsidR="00EE1D59" w:rsidRPr="00830DE1" w:rsidRDefault="00EE1D59" w:rsidP="00EE1D59">
      <w:pPr>
        <w:jc w:val="both"/>
        <w:rPr>
          <w:rFonts w:ascii="Arial" w:hAnsi="Arial" w:cs="Arial"/>
          <w:bCs/>
          <w:color w:val="000000" w:themeColor="text1"/>
        </w:rPr>
      </w:pPr>
      <w:r w:rsidRPr="00830DE1">
        <w:rPr>
          <w:rFonts w:ascii="Arial" w:hAnsi="Arial" w:cs="Arial"/>
          <w:bCs/>
          <w:color w:val="000000" w:themeColor="text1"/>
        </w:rPr>
        <w:t xml:space="preserve">Zároveň je dohodnuto, jakým způsobem budou majiteli účtu předávány výpisy z účtů – zda si bude klient výpisy vyzvedávat osobně, nebo budou zasílány poštou. Výpisy mohou být zpracovávány denně, týdně, měsíčně, čtvrtletně. </w:t>
      </w:r>
    </w:p>
    <w:p w:rsidR="007276DB" w:rsidRPr="00830DE1" w:rsidRDefault="00EE1D59" w:rsidP="009B2E0C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30DE1">
        <w:rPr>
          <w:rFonts w:ascii="Arial" w:hAnsi="Arial" w:cs="Arial"/>
          <w:b/>
          <w:bCs/>
          <w:color w:val="000000" w:themeColor="text1"/>
        </w:rPr>
        <w:t>Vklady představují pro banky pasivní úvěrové operace – banka se stává dlužníkem.</w:t>
      </w:r>
    </w:p>
    <w:p w:rsidR="007276DB" w:rsidRPr="00D21922" w:rsidRDefault="007276DB" w:rsidP="007276DB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7276DB" w:rsidRPr="00D21922" w:rsidRDefault="007276DB" w:rsidP="009B2E0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192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Vklady rozlišujeme z několika hledisek</w:t>
      </w:r>
      <w:r w:rsidRPr="00D21922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7276DB" w:rsidRDefault="007276DB" w:rsidP="007276DB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192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hledisko termínové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</w:p>
    <w:p w:rsidR="009B2E0C" w:rsidRPr="00D21922" w:rsidRDefault="009B2E0C" w:rsidP="009B2E0C">
      <w:pPr>
        <w:suppressAutoHyphens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276DB" w:rsidRPr="00830DE1" w:rsidRDefault="007276DB" w:rsidP="007276DB">
      <w:pPr>
        <w:numPr>
          <w:ilvl w:val="3"/>
          <w:numId w:val="7"/>
        </w:num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B2E0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netermínované vklady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Pr="00830DE1">
        <w:rPr>
          <w:rFonts w:ascii="Arial" w:hAnsi="Arial" w:cs="Arial"/>
          <w:bCs/>
          <w:color w:val="000000" w:themeColor="text1"/>
        </w:rPr>
        <w:t>klient může svůj vklad kdykoliv vybrat, proto je tento vklad úročen velmi nízkým procentem – např. běžné účty podnikatelů, vkladní knížky, sporožira občanů.</w:t>
      </w:r>
    </w:p>
    <w:p w:rsidR="007276DB" w:rsidRPr="00830DE1" w:rsidRDefault="007276DB" w:rsidP="007276DB">
      <w:pPr>
        <w:numPr>
          <w:ilvl w:val="3"/>
          <w:numId w:val="7"/>
        </w:num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B2E0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termínované vklady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30DE1">
        <w:rPr>
          <w:rFonts w:ascii="Arial" w:hAnsi="Arial" w:cs="Arial"/>
          <w:bCs/>
          <w:color w:val="000000" w:themeColor="text1"/>
        </w:rPr>
        <w:t>– na pevný termín (např. termínované účty) nebo s výpovědní lhůtou (vkladní knížky s výpovědní lhůtou, apod.).</w:t>
      </w:r>
    </w:p>
    <w:p w:rsidR="007276DB" w:rsidRPr="00D21922" w:rsidRDefault="007276DB" w:rsidP="007276DB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192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hledisko měny</w:t>
      </w:r>
      <w:r w:rsidRPr="00D21922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7276DB" w:rsidRDefault="007276DB" w:rsidP="007276DB">
      <w:pPr>
        <w:numPr>
          <w:ilvl w:val="3"/>
          <w:numId w:val="7"/>
        </w:num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B2E0C">
        <w:rPr>
          <w:rFonts w:ascii="Arial" w:hAnsi="Arial" w:cs="Arial"/>
          <w:b/>
          <w:bCs/>
          <w:iCs/>
          <w:color w:val="000000" w:themeColor="text1"/>
          <w:sz w:val="24"/>
          <w:szCs w:val="24"/>
          <w:u w:val="single"/>
        </w:rPr>
        <w:t>korunové</w:t>
      </w:r>
      <w:r w:rsidRPr="009B2E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Pr="00830DE1">
        <w:rPr>
          <w:rFonts w:ascii="Arial" w:hAnsi="Arial" w:cs="Arial"/>
          <w:bCs/>
          <w:color w:val="000000" w:themeColor="text1"/>
        </w:rPr>
        <w:t>v Kč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:rsidR="009B2E0C" w:rsidRPr="00D21922" w:rsidRDefault="009B2E0C" w:rsidP="009B2E0C">
      <w:pPr>
        <w:tabs>
          <w:tab w:val="left" w:pos="2520"/>
        </w:tabs>
        <w:suppressAutoHyphens/>
        <w:spacing w:after="0" w:line="240" w:lineRule="auto"/>
        <w:ind w:left="25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276DB" w:rsidRPr="00830DE1" w:rsidRDefault="007276DB" w:rsidP="007276DB">
      <w:pPr>
        <w:numPr>
          <w:ilvl w:val="3"/>
          <w:numId w:val="7"/>
        </w:num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B2E0C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devizové</w:t>
      </w:r>
      <w:r w:rsidRPr="009B2E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D21922">
        <w:rPr>
          <w:rFonts w:ascii="Arial" w:hAnsi="Arial" w:cs="Arial"/>
          <w:color w:val="000000" w:themeColor="text1"/>
          <w:sz w:val="24"/>
          <w:szCs w:val="24"/>
        </w:rPr>
        <w:t xml:space="preserve"> -   </w:t>
      </w:r>
      <w:r w:rsidRPr="00830DE1">
        <w:rPr>
          <w:rFonts w:ascii="Arial" w:hAnsi="Arial" w:cs="Arial"/>
          <w:color w:val="000000" w:themeColor="text1"/>
        </w:rPr>
        <w:t>v cizí měně – nejčastěji v EUR</w:t>
      </w:r>
      <w:r w:rsidR="009B2E0C" w:rsidRPr="00830DE1">
        <w:rPr>
          <w:rFonts w:ascii="Arial" w:hAnsi="Arial" w:cs="Arial"/>
          <w:color w:val="000000" w:themeColor="text1"/>
        </w:rPr>
        <w:t>ECH</w:t>
      </w:r>
      <w:r w:rsidRPr="00830DE1">
        <w:rPr>
          <w:rFonts w:ascii="Arial" w:hAnsi="Arial" w:cs="Arial"/>
          <w:color w:val="000000" w:themeColor="text1"/>
        </w:rPr>
        <w:t xml:space="preserve"> nebo v USD. Vklady a výběry jsou možné buď v měně, ve které je účet veden, nebo v jiné měně (v přepočtu podle aktuálního kurzovního lístku banky).</w:t>
      </w:r>
    </w:p>
    <w:p w:rsidR="007276DB" w:rsidRPr="00D21922" w:rsidRDefault="007276DB" w:rsidP="007276DB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276DB" w:rsidRPr="00D21922" w:rsidRDefault="007276DB" w:rsidP="007276DB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Banky mají i </w:t>
      </w:r>
      <w:r w:rsidRPr="009B2E0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jiné zdroje, než jsou vklady občanů a firem</w:t>
      </w:r>
      <w:r w:rsidRPr="009B2E0C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7276DB" w:rsidRPr="00830DE1" w:rsidRDefault="007276DB" w:rsidP="007276DB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FB184D">
        <w:rPr>
          <w:rFonts w:ascii="Arial" w:hAnsi="Arial" w:cs="Arial"/>
          <w:b/>
          <w:bCs/>
          <w:color w:val="000000" w:themeColor="text1"/>
        </w:rPr>
        <w:t xml:space="preserve">úvěry </w:t>
      </w:r>
      <w:r w:rsidRPr="00FB184D">
        <w:rPr>
          <w:rFonts w:ascii="Arial" w:hAnsi="Arial" w:cs="Arial"/>
          <w:b/>
          <w:bCs/>
          <w:i/>
          <w:iCs/>
          <w:color w:val="000000" w:themeColor="text1"/>
        </w:rPr>
        <w:t>od</w:t>
      </w:r>
      <w:r w:rsidRPr="00FB184D">
        <w:rPr>
          <w:rFonts w:ascii="Arial" w:hAnsi="Arial" w:cs="Arial"/>
          <w:b/>
          <w:bCs/>
          <w:color w:val="000000" w:themeColor="text1"/>
        </w:rPr>
        <w:t xml:space="preserve"> </w:t>
      </w:r>
      <w:r w:rsidRPr="00FB184D">
        <w:rPr>
          <w:rFonts w:ascii="Arial" w:hAnsi="Arial" w:cs="Arial"/>
          <w:b/>
          <w:bCs/>
          <w:i/>
          <w:iCs/>
          <w:color w:val="000000" w:themeColor="text1"/>
        </w:rPr>
        <w:t>centrální banky</w:t>
      </w:r>
      <w:r w:rsidRPr="00830DE1">
        <w:rPr>
          <w:rFonts w:ascii="Arial" w:hAnsi="Arial" w:cs="Arial"/>
          <w:bCs/>
          <w:color w:val="000000" w:themeColor="text1"/>
        </w:rPr>
        <w:t xml:space="preserve"> /ČNB/,</w:t>
      </w:r>
    </w:p>
    <w:p w:rsidR="007276DB" w:rsidRPr="00FB184D" w:rsidRDefault="007276DB" w:rsidP="00FB184D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FB184D">
        <w:rPr>
          <w:rFonts w:ascii="Arial" w:hAnsi="Arial" w:cs="Arial"/>
          <w:b/>
          <w:bCs/>
          <w:color w:val="000000" w:themeColor="text1"/>
        </w:rPr>
        <w:t xml:space="preserve">úvěry </w:t>
      </w:r>
      <w:r w:rsidRPr="00FB184D">
        <w:rPr>
          <w:rFonts w:ascii="Arial" w:hAnsi="Arial" w:cs="Arial"/>
          <w:b/>
          <w:bCs/>
          <w:i/>
          <w:iCs/>
          <w:color w:val="000000" w:themeColor="text1"/>
        </w:rPr>
        <w:t>od</w:t>
      </w:r>
      <w:r w:rsidRPr="00FB184D">
        <w:rPr>
          <w:rFonts w:ascii="Arial" w:hAnsi="Arial" w:cs="Arial"/>
          <w:b/>
          <w:bCs/>
          <w:color w:val="000000" w:themeColor="text1"/>
        </w:rPr>
        <w:t xml:space="preserve"> </w:t>
      </w:r>
      <w:r w:rsidRPr="00FB184D">
        <w:rPr>
          <w:rFonts w:ascii="Arial" w:hAnsi="Arial" w:cs="Arial"/>
          <w:b/>
          <w:bCs/>
          <w:i/>
          <w:iCs/>
          <w:color w:val="000000" w:themeColor="text1"/>
        </w:rPr>
        <w:t>ostatních bank</w:t>
      </w:r>
      <w:r w:rsidRPr="00830DE1">
        <w:rPr>
          <w:rFonts w:ascii="Arial" w:hAnsi="Arial" w:cs="Arial"/>
          <w:bCs/>
          <w:color w:val="000000" w:themeColor="text1"/>
        </w:rPr>
        <w:t xml:space="preserve"> – tento zdroj je využíván nejvíce, je operativní od půjček jednodenních až po roční</w:t>
      </w:r>
    </w:p>
    <w:p w:rsidR="007276DB" w:rsidRPr="00830DE1" w:rsidRDefault="007276DB" w:rsidP="007276DB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FB184D">
        <w:rPr>
          <w:rFonts w:ascii="Arial" w:hAnsi="Arial" w:cs="Arial"/>
          <w:b/>
          <w:bCs/>
          <w:i/>
          <w:iCs/>
          <w:color w:val="000000" w:themeColor="text1"/>
        </w:rPr>
        <w:t>emise bankovních obligací</w:t>
      </w:r>
      <w:r w:rsidRPr="00830DE1">
        <w:rPr>
          <w:rFonts w:ascii="Arial" w:hAnsi="Arial" w:cs="Arial"/>
          <w:bCs/>
          <w:color w:val="000000" w:themeColor="text1"/>
        </w:rPr>
        <w:t xml:space="preserve"> – tyto emise vydávají pouze větší banky obvykle v miliardových objemech,</w:t>
      </w:r>
    </w:p>
    <w:p w:rsidR="007276DB" w:rsidRPr="00830DE1" w:rsidRDefault="007276DB" w:rsidP="007276DB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FB184D">
        <w:rPr>
          <w:rFonts w:ascii="Arial" w:hAnsi="Arial" w:cs="Arial"/>
          <w:b/>
          <w:bCs/>
          <w:i/>
          <w:iCs/>
          <w:color w:val="000000" w:themeColor="text1"/>
        </w:rPr>
        <w:t>emise hypotečních zástavních listů</w:t>
      </w:r>
      <w:r w:rsidRPr="00830DE1">
        <w:rPr>
          <w:rFonts w:ascii="Arial" w:hAnsi="Arial" w:cs="Arial"/>
          <w:bCs/>
          <w:color w:val="000000" w:themeColor="text1"/>
        </w:rPr>
        <w:t xml:space="preserve"> – mohou vydávat pouze banky, které mají licenci k hypotečním úvěrům (v ČR 10 bank).   </w:t>
      </w:r>
    </w:p>
    <w:p w:rsidR="007276DB" w:rsidRPr="00830DE1" w:rsidRDefault="007276DB" w:rsidP="00FB184D">
      <w:pPr>
        <w:ind w:left="360"/>
        <w:rPr>
          <w:rFonts w:ascii="Arial" w:hAnsi="Arial" w:cs="Arial"/>
          <w:bCs/>
          <w:color w:val="000000" w:themeColor="text1"/>
        </w:rPr>
      </w:pPr>
    </w:p>
    <w:p w:rsidR="00830DE1" w:rsidRPr="004335C0" w:rsidRDefault="00FB184D" w:rsidP="004335C0">
      <w:pPr>
        <w:ind w:left="360" w:hanging="36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color w:val="000000"/>
        </w:rPr>
        <w:t xml:space="preserve">     </w:t>
      </w:r>
      <w:r w:rsidRPr="00FB184D">
        <w:rPr>
          <w:rFonts w:ascii="Arial" w:hAnsi="Arial" w:cs="Arial"/>
          <w:b/>
          <w:color w:val="000000"/>
          <w:u w:val="single"/>
        </w:rPr>
        <w:t>Zúčtovací a platební styk</w:t>
      </w:r>
      <w:r w:rsidR="00830DE1" w:rsidRPr="00830DE1">
        <w:rPr>
          <w:rFonts w:ascii="Arial" w:hAnsi="Arial" w:cs="Arial"/>
          <w:color w:val="000000"/>
        </w:rPr>
        <w:br/>
      </w:r>
      <w:r w:rsidR="00830DE1" w:rsidRPr="00830DE1">
        <w:rPr>
          <w:rFonts w:ascii="Arial" w:hAnsi="Arial" w:cs="Arial"/>
          <w:color w:val="000000"/>
        </w:rPr>
        <w:br/>
        <w:t>Všechny banky vedou svým klientům účty. Dokonce i vkladní knížky jsou z pohledu banky účty. Denně potřebují klienti banky přesouvat peníze z jednoho účtu na druhý. Jednak v rámci té samé banky, jednak do jiné banky. Banka tuto operaci vykoná</w:t>
      </w:r>
      <w:r>
        <w:rPr>
          <w:rFonts w:ascii="Arial" w:hAnsi="Arial" w:cs="Arial"/>
          <w:color w:val="000000"/>
        </w:rPr>
        <w:t>vá</w:t>
      </w:r>
      <w:r w:rsidR="00830DE1" w:rsidRPr="00830DE1">
        <w:rPr>
          <w:rFonts w:ascii="Arial" w:hAnsi="Arial" w:cs="Arial"/>
          <w:color w:val="000000"/>
        </w:rPr>
        <w:t xml:space="preserve"> na základě jednorázového nebo trvalého příkazu k úhradě. V některých případech dává majitel účtu souhlas s pravidelnými platbami ze svého účtu</w:t>
      </w:r>
      <w:r>
        <w:rPr>
          <w:rFonts w:ascii="Arial" w:hAnsi="Arial" w:cs="Arial"/>
          <w:color w:val="000000"/>
        </w:rPr>
        <w:t xml:space="preserve"> – </w:t>
      </w:r>
      <w:r w:rsidRPr="004335C0">
        <w:rPr>
          <w:rFonts w:ascii="Arial" w:hAnsi="Arial" w:cs="Arial"/>
          <w:b/>
          <w:color w:val="000000"/>
        </w:rPr>
        <w:t>obvykle jde o bezhotovostní platební styk.</w:t>
      </w:r>
      <w:r w:rsidR="00830DE1" w:rsidRPr="004335C0">
        <w:rPr>
          <w:rFonts w:ascii="Arial" w:hAnsi="Arial" w:cs="Arial"/>
          <w:b/>
        </w:rPr>
        <w:tab/>
      </w:r>
    </w:p>
    <w:p w:rsidR="00830DE1" w:rsidRPr="00830DE1" w:rsidRDefault="00830DE1" w:rsidP="00FB184D">
      <w:pPr>
        <w:ind w:firstLine="360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  <w:i/>
          <w:iCs/>
          <w:u w:val="single"/>
        </w:rPr>
        <w:t>Existují 2 formy bezhotovostního placení</w:t>
      </w:r>
      <w:r w:rsidRPr="00830DE1">
        <w:rPr>
          <w:rFonts w:ascii="Arial" w:hAnsi="Arial" w:cs="Arial"/>
          <w:b/>
          <w:bCs/>
        </w:rPr>
        <w:t>:</w:t>
      </w:r>
    </w:p>
    <w:p w:rsidR="00830DE1" w:rsidRDefault="00830DE1" w:rsidP="00830DE1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830DE1">
        <w:rPr>
          <w:rFonts w:ascii="Arial" w:hAnsi="Arial" w:cs="Arial"/>
          <w:b/>
          <w:bCs/>
          <w:u w:val="single"/>
        </w:rPr>
        <w:t>úhradová forma</w:t>
      </w:r>
      <w:r w:rsidRPr="00830DE1">
        <w:rPr>
          <w:rFonts w:ascii="Arial" w:hAnsi="Arial" w:cs="Arial"/>
          <w:b/>
          <w:bCs/>
        </w:rPr>
        <w:t xml:space="preserve"> – </w:t>
      </w:r>
      <w:r w:rsidRPr="00FB184D">
        <w:rPr>
          <w:rFonts w:ascii="Arial" w:hAnsi="Arial" w:cs="Arial"/>
          <w:bCs/>
        </w:rPr>
        <w:t xml:space="preserve">plátce zadá příkaz k úhradě, banka z jeho účtu odepíše prostředky, odešle je jiné bance, která je </w:t>
      </w:r>
      <w:proofErr w:type="spellStart"/>
      <w:r w:rsidRPr="00FB184D">
        <w:rPr>
          <w:rFonts w:ascii="Arial" w:hAnsi="Arial" w:cs="Arial"/>
          <w:bCs/>
        </w:rPr>
        <w:t>připáše</w:t>
      </w:r>
      <w:proofErr w:type="spellEnd"/>
      <w:r w:rsidRPr="00FB184D">
        <w:rPr>
          <w:rFonts w:ascii="Arial" w:hAnsi="Arial" w:cs="Arial"/>
          <w:bCs/>
        </w:rPr>
        <w:t xml:space="preserve"> příjemci platby. Obě strany pak budou o provedení úhrady informováni výpisem z účtu. Příkaz k úhradě může být:</w:t>
      </w:r>
    </w:p>
    <w:p w:rsidR="00FB184D" w:rsidRPr="00FB184D" w:rsidRDefault="00FB184D" w:rsidP="00FB184D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830DE1" w:rsidRDefault="00830DE1" w:rsidP="00FB184D">
      <w:pPr>
        <w:pStyle w:val="Odstavecseseznamem"/>
        <w:numPr>
          <w:ilvl w:val="0"/>
          <w:numId w:val="19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FB184D">
        <w:rPr>
          <w:rFonts w:ascii="Arial" w:hAnsi="Arial" w:cs="Arial"/>
          <w:b/>
          <w:bCs/>
          <w:i/>
          <w:iCs/>
          <w:u w:val="single"/>
        </w:rPr>
        <w:t>jednotlivý</w:t>
      </w:r>
      <w:r w:rsidRPr="00FB184D">
        <w:rPr>
          <w:rFonts w:ascii="Arial" w:hAnsi="Arial" w:cs="Arial"/>
          <w:b/>
          <w:bCs/>
        </w:rPr>
        <w:t xml:space="preserve"> – </w:t>
      </w:r>
      <w:r w:rsidRPr="00FB184D">
        <w:rPr>
          <w:rFonts w:ascii="Arial" w:hAnsi="Arial" w:cs="Arial"/>
          <w:bCs/>
        </w:rPr>
        <w:t>pro jednotlivou platbu</w:t>
      </w:r>
      <w:r w:rsidRPr="00FB184D">
        <w:rPr>
          <w:rFonts w:ascii="Arial" w:hAnsi="Arial" w:cs="Arial"/>
          <w:b/>
          <w:bCs/>
        </w:rPr>
        <w:t>,</w:t>
      </w:r>
    </w:p>
    <w:p w:rsidR="00FB184D" w:rsidRPr="00FB184D" w:rsidRDefault="00FB184D" w:rsidP="00FB184D">
      <w:pPr>
        <w:pStyle w:val="Odstavecseseznamem"/>
        <w:tabs>
          <w:tab w:val="left" w:pos="1080"/>
        </w:tabs>
        <w:suppressAutoHyphens/>
        <w:spacing w:after="0" w:line="240" w:lineRule="auto"/>
        <w:ind w:left="1800"/>
        <w:jc w:val="both"/>
        <w:rPr>
          <w:rFonts w:ascii="Arial" w:hAnsi="Arial" w:cs="Arial"/>
          <w:b/>
          <w:bCs/>
        </w:rPr>
      </w:pPr>
    </w:p>
    <w:p w:rsidR="00FB184D" w:rsidRPr="00FB184D" w:rsidRDefault="00830DE1" w:rsidP="00FB184D">
      <w:pPr>
        <w:pStyle w:val="Odstavecseseznamem"/>
        <w:numPr>
          <w:ilvl w:val="0"/>
          <w:numId w:val="19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FB184D">
        <w:rPr>
          <w:rFonts w:ascii="Arial" w:hAnsi="Arial" w:cs="Arial"/>
          <w:b/>
          <w:bCs/>
          <w:i/>
          <w:iCs/>
          <w:u w:val="single"/>
        </w:rPr>
        <w:t>hromadný</w:t>
      </w:r>
      <w:r w:rsidRPr="00FB184D">
        <w:rPr>
          <w:rFonts w:ascii="Arial" w:hAnsi="Arial" w:cs="Arial"/>
          <w:b/>
          <w:bCs/>
        </w:rPr>
        <w:t xml:space="preserve">    -  </w:t>
      </w:r>
      <w:r w:rsidRPr="00FB184D">
        <w:rPr>
          <w:rFonts w:ascii="Arial" w:hAnsi="Arial" w:cs="Arial"/>
          <w:bCs/>
        </w:rPr>
        <w:t>pro více plateb, které moho</w:t>
      </w:r>
      <w:r w:rsidR="00FB184D" w:rsidRPr="00FB184D">
        <w:rPr>
          <w:rFonts w:ascii="Arial" w:hAnsi="Arial" w:cs="Arial"/>
          <w:bCs/>
        </w:rPr>
        <w:t xml:space="preserve">u být určeny různým příjemcům, </w:t>
      </w:r>
    </w:p>
    <w:p w:rsidR="00830DE1" w:rsidRPr="00FB184D" w:rsidRDefault="00830DE1" w:rsidP="00FB184D">
      <w:pPr>
        <w:pStyle w:val="Odstavecseseznamem"/>
        <w:tabs>
          <w:tab w:val="left" w:pos="1080"/>
        </w:tabs>
        <w:suppressAutoHyphens/>
        <w:spacing w:after="0" w:line="240" w:lineRule="auto"/>
        <w:ind w:left="1800"/>
        <w:jc w:val="both"/>
        <w:rPr>
          <w:rFonts w:ascii="Arial" w:hAnsi="Arial" w:cs="Arial"/>
          <w:b/>
          <w:bCs/>
        </w:rPr>
      </w:pPr>
      <w:r w:rsidRPr="00FB184D">
        <w:rPr>
          <w:rFonts w:ascii="Arial" w:hAnsi="Arial" w:cs="Arial"/>
          <w:b/>
          <w:bCs/>
        </w:rPr>
        <w:t xml:space="preserve"> </w:t>
      </w:r>
    </w:p>
    <w:p w:rsidR="00830DE1" w:rsidRPr="00FB184D" w:rsidRDefault="00830DE1" w:rsidP="00FB184D">
      <w:pPr>
        <w:pStyle w:val="Odstavecseseznamem"/>
        <w:numPr>
          <w:ilvl w:val="0"/>
          <w:numId w:val="19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FB184D">
        <w:rPr>
          <w:rFonts w:ascii="Arial" w:hAnsi="Arial" w:cs="Arial"/>
          <w:b/>
          <w:bCs/>
          <w:i/>
          <w:iCs/>
          <w:u w:val="single"/>
        </w:rPr>
        <w:t>trvalý</w:t>
      </w:r>
      <w:r w:rsidRPr="00FB184D">
        <w:rPr>
          <w:rFonts w:ascii="Arial" w:hAnsi="Arial" w:cs="Arial"/>
          <w:b/>
          <w:bCs/>
        </w:rPr>
        <w:t xml:space="preserve"> – hodí se pro platby, které se pravidelně opakují</w:t>
      </w:r>
      <w:r w:rsidRPr="00FB184D">
        <w:rPr>
          <w:rFonts w:ascii="Arial" w:hAnsi="Arial" w:cs="Arial"/>
          <w:bCs/>
        </w:rPr>
        <w:t xml:space="preserve">. Banka nám ušetří práci tím, že trvalý příkaz zadáme jen jednou a platby jsou pak posílány na určený účet a v určené výši. Můžeme </w:t>
      </w:r>
      <w:r w:rsidR="00FB184D">
        <w:rPr>
          <w:rFonts w:ascii="Arial" w:hAnsi="Arial" w:cs="Arial"/>
          <w:bCs/>
        </w:rPr>
        <w:t>t</w:t>
      </w:r>
      <w:r w:rsidRPr="00FB184D">
        <w:rPr>
          <w:rFonts w:ascii="Arial" w:hAnsi="Arial" w:cs="Arial"/>
          <w:bCs/>
        </w:rPr>
        <w:t>ak zadat příkaz k úhradě nájemného, splátek půjček, sociálního a zdravotního pojištění, apod.</w:t>
      </w:r>
    </w:p>
    <w:p w:rsidR="00830DE1" w:rsidRPr="00830DE1" w:rsidRDefault="00830DE1" w:rsidP="00830DE1">
      <w:pPr>
        <w:jc w:val="both"/>
        <w:rPr>
          <w:rFonts w:ascii="Arial" w:hAnsi="Arial" w:cs="Arial"/>
          <w:b/>
          <w:bCs/>
        </w:rPr>
      </w:pPr>
    </w:p>
    <w:p w:rsidR="00830DE1" w:rsidRPr="00FB184D" w:rsidRDefault="00830DE1" w:rsidP="00830DE1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830DE1">
        <w:rPr>
          <w:rFonts w:ascii="Arial" w:hAnsi="Arial" w:cs="Arial"/>
          <w:b/>
          <w:bCs/>
          <w:u w:val="single"/>
        </w:rPr>
        <w:t>inkasní forma</w:t>
      </w:r>
      <w:r w:rsidRPr="00830DE1">
        <w:rPr>
          <w:rFonts w:ascii="Arial" w:hAnsi="Arial" w:cs="Arial"/>
          <w:b/>
          <w:bCs/>
        </w:rPr>
        <w:t xml:space="preserve"> – </w:t>
      </w:r>
      <w:r w:rsidRPr="00FB184D">
        <w:rPr>
          <w:rFonts w:ascii="Arial" w:hAnsi="Arial" w:cs="Arial"/>
          <w:bCs/>
        </w:rPr>
        <w:t xml:space="preserve">v tomto případě </w:t>
      </w:r>
      <w:r w:rsidRPr="00FB184D">
        <w:rPr>
          <w:rFonts w:ascii="Arial" w:hAnsi="Arial" w:cs="Arial"/>
          <w:b/>
          <w:bCs/>
        </w:rPr>
        <w:t>zadává</w:t>
      </w:r>
      <w:r w:rsidRPr="00FB184D">
        <w:rPr>
          <w:rFonts w:ascii="Arial" w:hAnsi="Arial" w:cs="Arial"/>
          <w:bCs/>
        </w:rPr>
        <w:t xml:space="preserve"> </w:t>
      </w:r>
      <w:r w:rsidRPr="00FB184D">
        <w:rPr>
          <w:rFonts w:ascii="Arial" w:hAnsi="Arial" w:cs="Arial"/>
          <w:b/>
          <w:bCs/>
        </w:rPr>
        <w:t>příkaz příjemce peněz</w:t>
      </w:r>
      <w:r w:rsidRPr="00FB184D">
        <w:rPr>
          <w:rFonts w:ascii="Arial" w:hAnsi="Arial" w:cs="Arial"/>
          <w:bCs/>
        </w:rPr>
        <w:t xml:space="preserve"> – např.: u telefonních účtů, plateb elektřiny, nebo plateb SIPO (např. platba za nájem, za plyn…). Majitel účtu musí inkaso předem povolit – musí dát bance písemný souhlas. Zároveň určí, do jaké maximální výše je možné inkasovat.</w:t>
      </w:r>
    </w:p>
    <w:p w:rsidR="00830DE1" w:rsidRPr="00830DE1" w:rsidRDefault="00830DE1" w:rsidP="00830DE1">
      <w:pPr>
        <w:ind w:left="720"/>
        <w:jc w:val="both"/>
        <w:rPr>
          <w:rFonts w:ascii="Arial" w:hAnsi="Arial" w:cs="Arial"/>
          <w:b/>
          <w:bCs/>
        </w:rPr>
      </w:pPr>
      <w:r w:rsidRPr="00FB184D">
        <w:rPr>
          <w:rFonts w:ascii="Arial" w:hAnsi="Arial" w:cs="Arial"/>
          <w:bCs/>
        </w:rPr>
        <w:t>Příjemce peněz pak dává příkaz k inkasu</w:t>
      </w:r>
      <w:r w:rsidRPr="00830DE1">
        <w:rPr>
          <w:rFonts w:ascii="Arial" w:hAnsi="Arial" w:cs="Arial"/>
          <w:b/>
          <w:bCs/>
        </w:rPr>
        <w:t>.</w:t>
      </w:r>
    </w:p>
    <w:p w:rsidR="00830DE1" w:rsidRDefault="00830DE1" w:rsidP="00830DE1">
      <w:pPr>
        <w:ind w:left="720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</w:rPr>
        <w:t xml:space="preserve"> </w:t>
      </w:r>
    </w:p>
    <w:p w:rsidR="00FB184D" w:rsidRDefault="00FB184D" w:rsidP="00830DE1">
      <w:pPr>
        <w:ind w:left="720"/>
        <w:jc w:val="both"/>
        <w:rPr>
          <w:rFonts w:ascii="Arial" w:hAnsi="Arial" w:cs="Arial"/>
          <w:b/>
          <w:bCs/>
        </w:rPr>
      </w:pPr>
    </w:p>
    <w:p w:rsidR="00FB184D" w:rsidRPr="00830DE1" w:rsidRDefault="00FB184D" w:rsidP="00830DE1">
      <w:pPr>
        <w:ind w:left="720"/>
        <w:jc w:val="both"/>
        <w:rPr>
          <w:rFonts w:ascii="Arial" w:hAnsi="Arial" w:cs="Arial"/>
          <w:b/>
          <w:bCs/>
        </w:rPr>
      </w:pPr>
    </w:p>
    <w:p w:rsidR="00830DE1" w:rsidRPr="00830DE1" w:rsidRDefault="00830DE1" w:rsidP="00830DE1">
      <w:pPr>
        <w:ind w:left="360"/>
        <w:jc w:val="both"/>
        <w:rPr>
          <w:rFonts w:ascii="Arial" w:hAnsi="Arial" w:cs="Arial"/>
          <w:b/>
          <w:bCs/>
          <w:u w:val="single"/>
        </w:rPr>
      </w:pPr>
      <w:r w:rsidRPr="00830DE1">
        <w:rPr>
          <w:rFonts w:ascii="Arial" w:hAnsi="Arial" w:cs="Arial"/>
          <w:b/>
          <w:bCs/>
        </w:rPr>
        <w:lastRenderedPageBreak/>
        <w:t xml:space="preserve">      </w:t>
      </w:r>
      <w:r w:rsidRPr="00830DE1">
        <w:rPr>
          <w:rFonts w:ascii="Arial" w:hAnsi="Arial" w:cs="Arial"/>
          <w:b/>
          <w:bCs/>
          <w:u w:val="single"/>
        </w:rPr>
        <w:t xml:space="preserve">Příklad: </w:t>
      </w:r>
    </w:p>
    <w:p w:rsidR="00830DE1" w:rsidRPr="00830DE1" w:rsidRDefault="00830DE1" w:rsidP="00830DE1">
      <w:pPr>
        <w:ind w:left="708"/>
        <w:jc w:val="both"/>
        <w:rPr>
          <w:rFonts w:ascii="Arial" w:hAnsi="Arial" w:cs="Arial"/>
          <w:b/>
          <w:bCs/>
        </w:rPr>
      </w:pPr>
      <w:r w:rsidRPr="00FB184D">
        <w:rPr>
          <w:rFonts w:ascii="Arial" w:hAnsi="Arial" w:cs="Arial"/>
          <w:bCs/>
        </w:rPr>
        <w:t>Pan Novák sdělí O</w:t>
      </w:r>
      <w:r w:rsidRPr="00FB184D">
        <w:rPr>
          <w:rFonts w:ascii="Arial" w:hAnsi="Arial" w:cs="Arial"/>
          <w:bCs/>
          <w:vertAlign w:val="subscript"/>
        </w:rPr>
        <w:t xml:space="preserve">2, </w:t>
      </w:r>
      <w:r w:rsidRPr="00FB184D">
        <w:rPr>
          <w:rFonts w:ascii="Arial" w:hAnsi="Arial" w:cs="Arial"/>
          <w:bCs/>
        </w:rPr>
        <w:t>že chce; platit telefonní účty inkasem. Zajde do banky, podepíše svolení k inkasu v měsíční výši např. 1 500Kč. Zajistí si tak, že v případě neočekávaně vysokého účtu za telefon (např. v důsledku omylu), nebude jednorázově inkasována částka, která by vyčerpala všechny prostředky z účtu a v případě, že by částka překročila limit, nebude proplacena</w:t>
      </w:r>
      <w:r w:rsidRPr="00830DE1">
        <w:rPr>
          <w:rFonts w:ascii="Arial" w:hAnsi="Arial" w:cs="Arial"/>
          <w:b/>
          <w:bCs/>
        </w:rPr>
        <w:t xml:space="preserve">.  </w:t>
      </w:r>
    </w:p>
    <w:p w:rsidR="00830DE1" w:rsidRPr="00830DE1" w:rsidRDefault="00830DE1" w:rsidP="00830DE1">
      <w:pPr>
        <w:jc w:val="both"/>
        <w:rPr>
          <w:rFonts w:ascii="Arial" w:hAnsi="Arial" w:cs="Arial"/>
          <w:b/>
          <w:bCs/>
        </w:rPr>
      </w:pPr>
    </w:p>
    <w:p w:rsidR="00830DE1" w:rsidRPr="00830DE1" w:rsidRDefault="00830DE1" w:rsidP="00830DE1">
      <w:pPr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</w:rPr>
        <w:t xml:space="preserve">          </w:t>
      </w:r>
      <w:r w:rsidRPr="00830DE1">
        <w:rPr>
          <w:rFonts w:ascii="Arial" w:hAnsi="Arial" w:cs="Arial"/>
          <w:b/>
          <w:bCs/>
          <w:u w:val="single"/>
        </w:rPr>
        <w:t>Nejčastější údaje, které zadáváme při příkazu k úhradě</w:t>
      </w:r>
      <w:r w:rsidRPr="00830DE1">
        <w:rPr>
          <w:rFonts w:ascii="Arial" w:hAnsi="Arial" w:cs="Arial"/>
          <w:b/>
          <w:bCs/>
        </w:rPr>
        <w:t>:</w:t>
      </w:r>
    </w:p>
    <w:p w:rsidR="00830DE1" w:rsidRDefault="00830DE1" w:rsidP="00830DE1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  <w:u w:val="single"/>
        </w:rPr>
        <w:t>na vrub účtu číslo</w:t>
      </w:r>
      <w:r w:rsidRPr="00830DE1">
        <w:rPr>
          <w:rFonts w:ascii="Arial" w:hAnsi="Arial" w:cs="Arial"/>
          <w:b/>
          <w:bCs/>
        </w:rPr>
        <w:t xml:space="preserve"> – </w:t>
      </w:r>
      <w:r w:rsidRPr="00FB184D">
        <w:rPr>
          <w:rFonts w:ascii="Arial" w:hAnsi="Arial" w:cs="Arial"/>
          <w:bCs/>
        </w:rPr>
        <w:t>doplníme náš účet, tj. účet, z něhož bude placeno,</w:t>
      </w:r>
    </w:p>
    <w:p w:rsidR="00FB184D" w:rsidRPr="00830DE1" w:rsidRDefault="00FB184D" w:rsidP="00FB184D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830DE1" w:rsidRDefault="00830DE1" w:rsidP="00830DE1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  <w:u w:val="single"/>
        </w:rPr>
        <w:t>ve prospěch účtu</w:t>
      </w:r>
      <w:r w:rsidRPr="00830DE1">
        <w:rPr>
          <w:rFonts w:ascii="Arial" w:hAnsi="Arial" w:cs="Arial"/>
          <w:b/>
          <w:bCs/>
        </w:rPr>
        <w:t xml:space="preserve"> – </w:t>
      </w:r>
      <w:r w:rsidRPr="00FB184D">
        <w:rPr>
          <w:rFonts w:ascii="Arial" w:hAnsi="Arial" w:cs="Arial"/>
          <w:bCs/>
        </w:rPr>
        <w:t>číslo účtu, kam má platba směřovat</w:t>
      </w:r>
      <w:r w:rsidRPr="00830DE1">
        <w:rPr>
          <w:rFonts w:ascii="Arial" w:hAnsi="Arial" w:cs="Arial"/>
          <w:b/>
          <w:bCs/>
        </w:rPr>
        <w:t>,</w:t>
      </w:r>
    </w:p>
    <w:p w:rsidR="00FB184D" w:rsidRPr="00830DE1" w:rsidRDefault="00FB184D" w:rsidP="00FB184D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830DE1" w:rsidRPr="00FB184D" w:rsidRDefault="00830DE1" w:rsidP="00830DE1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830DE1">
        <w:rPr>
          <w:rFonts w:ascii="Arial" w:hAnsi="Arial" w:cs="Arial"/>
          <w:b/>
          <w:bCs/>
          <w:u w:val="single"/>
        </w:rPr>
        <w:t>kód banky</w:t>
      </w:r>
      <w:r w:rsidRPr="00830DE1">
        <w:rPr>
          <w:rFonts w:ascii="Arial" w:hAnsi="Arial" w:cs="Arial"/>
          <w:b/>
          <w:bCs/>
        </w:rPr>
        <w:t xml:space="preserve"> – </w:t>
      </w:r>
      <w:r w:rsidRPr="00FB184D">
        <w:rPr>
          <w:rFonts w:ascii="Arial" w:hAnsi="Arial" w:cs="Arial"/>
          <w:bCs/>
        </w:rPr>
        <w:t>banky mají přiděleny kódy, aby se snadněji rozlišilo, kam prostředky směřují. Bankovní spojení se nejčastěji píše s lomítkem, za nímž je kód banky.</w:t>
      </w:r>
    </w:p>
    <w:p w:rsidR="00830DE1" w:rsidRPr="00FB184D" w:rsidRDefault="00830DE1" w:rsidP="00FB184D">
      <w:pPr>
        <w:jc w:val="both"/>
        <w:rPr>
          <w:rFonts w:ascii="Arial" w:hAnsi="Arial" w:cs="Arial"/>
          <w:bCs/>
        </w:rPr>
      </w:pPr>
    </w:p>
    <w:p w:rsidR="00830DE1" w:rsidRDefault="00830DE1" w:rsidP="00FB184D">
      <w:pPr>
        <w:numPr>
          <w:ilvl w:val="1"/>
          <w:numId w:val="12"/>
        </w:numPr>
        <w:tabs>
          <w:tab w:val="left" w:pos="144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  <w:u w:val="single"/>
        </w:rPr>
        <w:t>Příklad</w:t>
      </w:r>
      <w:r w:rsidRPr="00830DE1">
        <w:rPr>
          <w:rFonts w:ascii="Arial" w:hAnsi="Arial" w:cs="Arial"/>
          <w:b/>
          <w:bCs/>
        </w:rPr>
        <w:t>:</w:t>
      </w:r>
    </w:p>
    <w:p w:rsidR="00FB184D" w:rsidRPr="00FB184D" w:rsidRDefault="00FB184D" w:rsidP="00FB184D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Arial" w:hAnsi="Arial" w:cs="Arial"/>
          <w:b/>
          <w:bCs/>
        </w:rPr>
      </w:pPr>
    </w:p>
    <w:p w:rsidR="00830DE1" w:rsidRPr="00830DE1" w:rsidRDefault="00830DE1" w:rsidP="00830DE1">
      <w:pPr>
        <w:ind w:left="1080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</w:rPr>
        <w:t xml:space="preserve">      </w:t>
      </w:r>
      <w:r w:rsidRPr="00A66265">
        <w:rPr>
          <w:rFonts w:ascii="Arial" w:hAnsi="Arial" w:cs="Arial"/>
          <w:b/>
          <w:bCs/>
          <w:u w:val="single"/>
        </w:rPr>
        <w:t>Mezi nejpoužívanější kódy bank patří</w:t>
      </w:r>
      <w:r w:rsidRPr="00830DE1">
        <w:rPr>
          <w:rFonts w:ascii="Arial" w:hAnsi="Arial" w:cs="Arial"/>
          <w:b/>
          <w:bCs/>
        </w:rPr>
        <w:t>:</w:t>
      </w:r>
    </w:p>
    <w:p w:rsidR="00830DE1" w:rsidRPr="00A66265" w:rsidRDefault="00830DE1" w:rsidP="00830DE1">
      <w:pPr>
        <w:tabs>
          <w:tab w:val="left" w:pos="1440"/>
        </w:tabs>
        <w:ind w:left="1440"/>
        <w:jc w:val="both"/>
        <w:rPr>
          <w:rFonts w:ascii="Arial" w:hAnsi="Arial" w:cs="Arial"/>
          <w:bCs/>
        </w:rPr>
      </w:pPr>
      <w:r w:rsidRPr="00A66265">
        <w:rPr>
          <w:rFonts w:ascii="Arial" w:hAnsi="Arial" w:cs="Arial"/>
          <w:bCs/>
        </w:rPr>
        <w:t>0100 – Komerční banky, a. s.,</w:t>
      </w:r>
    </w:p>
    <w:p w:rsidR="00830DE1" w:rsidRPr="00A66265" w:rsidRDefault="00830DE1" w:rsidP="00830DE1">
      <w:pPr>
        <w:tabs>
          <w:tab w:val="left" w:pos="1440"/>
        </w:tabs>
        <w:ind w:left="1440"/>
        <w:jc w:val="both"/>
        <w:rPr>
          <w:rFonts w:ascii="Arial" w:hAnsi="Arial" w:cs="Arial"/>
          <w:bCs/>
        </w:rPr>
      </w:pPr>
      <w:r w:rsidRPr="00A66265">
        <w:rPr>
          <w:rFonts w:ascii="Arial" w:hAnsi="Arial" w:cs="Arial"/>
          <w:bCs/>
        </w:rPr>
        <w:t xml:space="preserve">0300 – Československá obchodní banka, a. s.,  </w:t>
      </w:r>
      <w:r w:rsidRPr="00A66265">
        <w:rPr>
          <w:rFonts w:ascii="Arial" w:hAnsi="Arial" w:cs="Arial"/>
          <w:bCs/>
        </w:rPr>
        <w:tab/>
      </w:r>
      <w:r w:rsidRPr="00A66265">
        <w:rPr>
          <w:rFonts w:ascii="Arial" w:hAnsi="Arial" w:cs="Arial"/>
          <w:bCs/>
        </w:rPr>
        <w:tab/>
        <w:t xml:space="preserve"> </w:t>
      </w:r>
    </w:p>
    <w:p w:rsidR="00830DE1" w:rsidRPr="00A66265" w:rsidRDefault="00830DE1" w:rsidP="00830DE1">
      <w:pPr>
        <w:jc w:val="both"/>
        <w:rPr>
          <w:rFonts w:ascii="Arial" w:hAnsi="Arial" w:cs="Arial"/>
          <w:bCs/>
        </w:rPr>
      </w:pPr>
      <w:r w:rsidRPr="00A66265">
        <w:rPr>
          <w:rFonts w:ascii="Arial" w:hAnsi="Arial" w:cs="Arial"/>
          <w:bCs/>
        </w:rPr>
        <w:t xml:space="preserve">                        0400 -  Živnostenská banka, a. s. </w:t>
      </w:r>
    </w:p>
    <w:p w:rsidR="00830DE1" w:rsidRPr="00A66265" w:rsidRDefault="00830DE1" w:rsidP="00830DE1">
      <w:pPr>
        <w:jc w:val="both"/>
        <w:rPr>
          <w:rFonts w:ascii="Arial" w:hAnsi="Arial" w:cs="Arial"/>
          <w:bCs/>
        </w:rPr>
      </w:pPr>
      <w:r w:rsidRPr="00A66265">
        <w:rPr>
          <w:rFonts w:ascii="Arial" w:hAnsi="Arial" w:cs="Arial"/>
          <w:bCs/>
        </w:rPr>
        <w:t xml:space="preserve">                        0800 – Česká spořitelna, a. s., apod. </w:t>
      </w:r>
    </w:p>
    <w:p w:rsidR="00830DE1" w:rsidRDefault="00830DE1" w:rsidP="00830DE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  <w:u w:val="single"/>
        </w:rPr>
        <w:t>částka</w:t>
      </w:r>
      <w:r w:rsidRPr="00830DE1">
        <w:rPr>
          <w:rFonts w:ascii="Arial" w:hAnsi="Arial" w:cs="Arial"/>
          <w:b/>
          <w:bCs/>
        </w:rPr>
        <w:t xml:space="preserve">  - </w:t>
      </w:r>
      <w:r w:rsidRPr="00A66265">
        <w:rPr>
          <w:rFonts w:ascii="Arial" w:hAnsi="Arial" w:cs="Arial"/>
          <w:bCs/>
        </w:rPr>
        <w:t>uvádí se výše splátky</w:t>
      </w:r>
      <w:r w:rsidRPr="00830DE1">
        <w:rPr>
          <w:rFonts w:ascii="Arial" w:hAnsi="Arial" w:cs="Arial"/>
          <w:b/>
          <w:bCs/>
        </w:rPr>
        <w:t>,</w:t>
      </w:r>
    </w:p>
    <w:p w:rsidR="00FB184D" w:rsidRPr="00830DE1" w:rsidRDefault="00FB184D" w:rsidP="00FB184D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830DE1" w:rsidRPr="00A66265" w:rsidRDefault="00830DE1" w:rsidP="00830DE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830DE1">
        <w:rPr>
          <w:rFonts w:ascii="Arial" w:hAnsi="Arial" w:cs="Arial"/>
          <w:b/>
          <w:bCs/>
          <w:u w:val="single"/>
        </w:rPr>
        <w:t>datum splatnosti</w:t>
      </w:r>
      <w:r w:rsidRPr="00830DE1">
        <w:rPr>
          <w:rFonts w:ascii="Arial" w:hAnsi="Arial" w:cs="Arial"/>
          <w:b/>
          <w:bCs/>
        </w:rPr>
        <w:t xml:space="preserve"> – </w:t>
      </w:r>
      <w:r w:rsidRPr="00A66265">
        <w:rPr>
          <w:rFonts w:ascii="Arial" w:hAnsi="Arial" w:cs="Arial"/>
          <w:bCs/>
        </w:rPr>
        <w:t>den, který chceme, aby se platba provedla,</w:t>
      </w:r>
    </w:p>
    <w:p w:rsidR="00FB184D" w:rsidRPr="00A66265" w:rsidRDefault="00FB184D" w:rsidP="00FB184D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:rsidR="00830DE1" w:rsidRDefault="00830DE1" w:rsidP="00830DE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  <w:u w:val="single"/>
        </w:rPr>
        <w:t>variabilní symbol</w:t>
      </w:r>
      <w:r w:rsidRPr="00830DE1">
        <w:rPr>
          <w:rFonts w:ascii="Arial" w:hAnsi="Arial" w:cs="Arial"/>
          <w:b/>
          <w:bCs/>
        </w:rPr>
        <w:t xml:space="preserve">  - </w:t>
      </w:r>
      <w:r w:rsidRPr="00A66265">
        <w:rPr>
          <w:rFonts w:ascii="Arial" w:hAnsi="Arial" w:cs="Arial"/>
          <w:bCs/>
        </w:rPr>
        <w:t>umožňuje příjemci určit, o jakou platbu jde, nejčastěji se uvádí číslo faktury, nebo objednávky</w:t>
      </w:r>
      <w:r w:rsidR="00FB184D">
        <w:rPr>
          <w:rFonts w:ascii="Arial" w:hAnsi="Arial" w:cs="Arial"/>
          <w:b/>
          <w:bCs/>
        </w:rPr>
        <w:t>,</w:t>
      </w:r>
    </w:p>
    <w:p w:rsidR="00FB184D" w:rsidRPr="00830DE1" w:rsidRDefault="00FB184D" w:rsidP="00FB184D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830DE1" w:rsidRPr="00A66265" w:rsidRDefault="00830DE1" w:rsidP="00830DE1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830DE1">
        <w:rPr>
          <w:rFonts w:ascii="Arial" w:hAnsi="Arial" w:cs="Arial"/>
          <w:b/>
          <w:bCs/>
          <w:u w:val="single"/>
        </w:rPr>
        <w:t xml:space="preserve">konstantní symbol </w:t>
      </w:r>
      <w:r w:rsidRPr="00830DE1">
        <w:rPr>
          <w:rFonts w:ascii="Arial" w:hAnsi="Arial" w:cs="Arial"/>
          <w:b/>
          <w:bCs/>
        </w:rPr>
        <w:t xml:space="preserve">– </w:t>
      </w:r>
      <w:r w:rsidRPr="00A66265">
        <w:rPr>
          <w:rFonts w:ascii="Arial" w:hAnsi="Arial" w:cs="Arial"/>
          <w:bCs/>
        </w:rPr>
        <w:t>určuje druh platby</w:t>
      </w:r>
      <w:r w:rsidR="00A66265">
        <w:rPr>
          <w:rFonts w:ascii="Arial" w:hAnsi="Arial" w:cs="Arial"/>
          <w:bCs/>
        </w:rPr>
        <w:t>.</w:t>
      </w:r>
    </w:p>
    <w:p w:rsidR="00830DE1" w:rsidRPr="00830DE1" w:rsidRDefault="00830DE1" w:rsidP="00830DE1">
      <w:pPr>
        <w:jc w:val="both"/>
        <w:rPr>
          <w:rFonts w:ascii="Arial" w:hAnsi="Arial" w:cs="Arial"/>
          <w:b/>
          <w:bCs/>
        </w:rPr>
      </w:pPr>
    </w:p>
    <w:p w:rsidR="00830DE1" w:rsidRPr="00830DE1" w:rsidRDefault="00830DE1" w:rsidP="00830DE1">
      <w:pPr>
        <w:numPr>
          <w:ilvl w:val="1"/>
          <w:numId w:val="13"/>
        </w:numPr>
        <w:tabs>
          <w:tab w:val="left" w:pos="144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  <w:u w:val="single"/>
        </w:rPr>
        <w:t>Nejčastěji se setkáváme s těmito symboly</w:t>
      </w:r>
      <w:r w:rsidRPr="00830DE1">
        <w:rPr>
          <w:rFonts w:ascii="Arial" w:hAnsi="Arial" w:cs="Arial"/>
          <w:b/>
          <w:bCs/>
        </w:rPr>
        <w:t>:</w:t>
      </w:r>
    </w:p>
    <w:p w:rsidR="00830DE1" w:rsidRPr="00A66265" w:rsidRDefault="00830DE1" w:rsidP="00830DE1">
      <w:pPr>
        <w:ind w:left="1416"/>
        <w:jc w:val="both"/>
        <w:rPr>
          <w:rFonts w:ascii="Arial" w:hAnsi="Arial" w:cs="Arial"/>
          <w:bCs/>
        </w:rPr>
      </w:pPr>
      <w:r w:rsidRPr="00A66265">
        <w:rPr>
          <w:rFonts w:ascii="Arial" w:hAnsi="Arial" w:cs="Arial"/>
          <w:bCs/>
        </w:rPr>
        <w:t>0008 – bezhotovostní platba za zboží,</w:t>
      </w:r>
    </w:p>
    <w:p w:rsidR="00830DE1" w:rsidRPr="00A66265" w:rsidRDefault="00830DE1" w:rsidP="00830DE1">
      <w:pPr>
        <w:ind w:left="1416"/>
        <w:jc w:val="both"/>
        <w:rPr>
          <w:rFonts w:ascii="Arial" w:hAnsi="Arial" w:cs="Arial"/>
          <w:bCs/>
        </w:rPr>
      </w:pPr>
      <w:r w:rsidRPr="00A66265">
        <w:rPr>
          <w:rFonts w:ascii="Arial" w:hAnsi="Arial" w:cs="Arial"/>
          <w:bCs/>
        </w:rPr>
        <w:t>0308 – bezhotovostní platba za služby,</w:t>
      </w:r>
    </w:p>
    <w:p w:rsidR="00830DE1" w:rsidRPr="00A66265" w:rsidRDefault="00830DE1" w:rsidP="00830DE1">
      <w:pPr>
        <w:ind w:left="1416"/>
        <w:jc w:val="both"/>
        <w:rPr>
          <w:rFonts w:ascii="Arial" w:hAnsi="Arial" w:cs="Arial"/>
          <w:bCs/>
        </w:rPr>
      </w:pPr>
      <w:r w:rsidRPr="00A66265">
        <w:rPr>
          <w:rFonts w:ascii="Arial" w:hAnsi="Arial" w:cs="Arial"/>
          <w:bCs/>
        </w:rPr>
        <w:t>0309 – hotovostní platba za služby,</w:t>
      </w:r>
    </w:p>
    <w:p w:rsidR="00830DE1" w:rsidRPr="00A66265" w:rsidRDefault="00830DE1" w:rsidP="00830DE1">
      <w:pPr>
        <w:ind w:left="1416"/>
        <w:jc w:val="both"/>
        <w:rPr>
          <w:rFonts w:ascii="Arial" w:hAnsi="Arial" w:cs="Arial"/>
          <w:bCs/>
        </w:rPr>
      </w:pPr>
      <w:r w:rsidRPr="00A66265">
        <w:rPr>
          <w:rFonts w:ascii="Arial" w:hAnsi="Arial" w:cs="Arial"/>
          <w:bCs/>
        </w:rPr>
        <w:t>1148 – bezhotovostní platba daní,</w:t>
      </w:r>
    </w:p>
    <w:p w:rsidR="00830DE1" w:rsidRPr="00A66265" w:rsidRDefault="00830DE1" w:rsidP="00830DE1">
      <w:pPr>
        <w:jc w:val="both"/>
        <w:rPr>
          <w:rFonts w:ascii="Arial" w:hAnsi="Arial" w:cs="Arial"/>
          <w:bCs/>
        </w:rPr>
      </w:pPr>
    </w:p>
    <w:p w:rsidR="00830DE1" w:rsidRDefault="00830DE1" w:rsidP="00830DE1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  <w:u w:val="single"/>
        </w:rPr>
        <w:t>název banky</w:t>
      </w:r>
      <w:r w:rsidRPr="00830DE1">
        <w:rPr>
          <w:rFonts w:ascii="Arial" w:hAnsi="Arial" w:cs="Arial"/>
          <w:b/>
          <w:bCs/>
        </w:rPr>
        <w:t xml:space="preserve"> </w:t>
      </w:r>
      <w:r w:rsidRPr="00A66265">
        <w:rPr>
          <w:rFonts w:ascii="Arial" w:hAnsi="Arial" w:cs="Arial"/>
          <w:bCs/>
        </w:rPr>
        <w:t>– tj. banky, ve které máme účet veden</w:t>
      </w:r>
      <w:r w:rsidRPr="00830DE1">
        <w:rPr>
          <w:rFonts w:ascii="Arial" w:hAnsi="Arial" w:cs="Arial"/>
          <w:b/>
          <w:bCs/>
        </w:rPr>
        <w:t>,</w:t>
      </w:r>
    </w:p>
    <w:p w:rsidR="00FB184D" w:rsidRPr="00830DE1" w:rsidRDefault="00FB184D" w:rsidP="00FB184D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830DE1" w:rsidRPr="00A66265" w:rsidRDefault="00830DE1" w:rsidP="00830DE1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830DE1">
        <w:rPr>
          <w:rFonts w:ascii="Arial" w:hAnsi="Arial" w:cs="Arial"/>
          <w:b/>
          <w:bCs/>
          <w:u w:val="single"/>
        </w:rPr>
        <w:t>dne</w:t>
      </w:r>
      <w:r w:rsidRPr="00830DE1">
        <w:rPr>
          <w:rFonts w:ascii="Arial" w:hAnsi="Arial" w:cs="Arial"/>
          <w:b/>
          <w:bCs/>
        </w:rPr>
        <w:t xml:space="preserve"> – </w:t>
      </w:r>
      <w:r w:rsidRPr="00A66265">
        <w:rPr>
          <w:rFonts w:ascii="Arial" w:hAnsi="Arial" w:cs="Arial"/>
          <w:bCs/>
        </w:rPr>
        <w:t>uvedeme den vystavení faktury,</w:t>
      </w:r>
    </w:p>
    <w:p w:rsidR="00FB184D" w:rsidRPr="00830DE1" w:rsidRDefault="00FB184D" w:rsidP="00FB184D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830DE1" w:rsidRPr="00830DE1" w:rsidRDefault="00830DE1" w:rsidP="00830DE1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830DE1">
        <w:rPr>
          <w:rFonts w:ascii="Arial" w:hAnsi="Arial" w:cs="Arial"/>
          <w:b/>
          <w:bCs/>
          <w:u w:val="single"/>
        </w:rPr>
        <w:t>podpis</w:t>
      </w:r>
      <w:r w:rsidRPr="00830DE1">
        <w:rPr>
          <w:rFonts w:ascii="Arial" w:hAnsi="Arial" w:cs="Arial"/>
          <w:b/>
          <w:bCs/>
        </w:rPr>
        <w:t xml:space="preserve"> - </w:t>
      </w:r>
      <w:r w:rsidRPr="00A66265">
        <w:rPr>
          <w:rFonts w:ascii="Arial" w:hAnsi="Arial" w:cs="Arial"/>
          <w:bCs/>
        </w:rPr>
        <w:t>příkaz podepíšeme podle podpisového vzoru.</w:t>
      </w:r>
      <w:r w:rsidRPr="00830DE1">
        <w:rPr>
          <w:rFonts w:ascii="Arial" w:hAnsi="Arial" w:cs="Arial"/>
          <w:b/>
          <w:bCs/>
        </w:rPr>
        <w:t xml:space="preserve">        </w:t>
      </w:r>
    </w:p>
    <w:p w:rsidR="00830DE1" w:rsidRDefault="00830DE1" w:rsidP="00830DE1">
      <w:pPr>
        <w:jc w:val="both"/>
        <w:rPr>
          <w:b/>
          <w:bCs/>
        </w:rPr>
      </w:pPr>
    </w:p>
    <w:p w:rsidR="00A66265" w:rsidRPr="00A66265" w:rsidRDefault="00A66265" w:rsidP="00830DE1">
      <w:pPr>
        <w:jc w:val="both"/>
        <w:rPr>
          <w:rFonts w:ascii="Arial" w:hAnsi="Arial" w:cs="Arial"/>
          <w:b/>
          <w:bCs/>
        </w:rPr>
      </w:pPr>
      <w:r w:rsidRPr="00A66265">
        <w:rPr>
          <w:rFonts w:ascii="Arial" w:hAnsi="Arial" w:cs="Arial"/>
          <w:b/>
          <w:bCs/>
        </w:rPr>
        <w:t>Konkrétní příklady k procvičení jsou uvedeny v testové úloze.</w:t>
      </w:r>
    </w:p>
    <w:p w:rsidR="00830DE1" w:rsidRDefault="00830DE1" w:rsidP="00830DE1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30DE1" w:rsidRDefault="00830DE1" w:rsidP="00830DE1">
      <w:pPr>
        <w:jc w:val="both"/>
        <w:rPr>
          <w:rFonts w:ascii="Arial" w:hAnsi="Arial" w:cs="Arial"/>
          <w:bCs/>
        </w:rPr>
      </w:pPr>
    </w:p>
    <w:p w:rsidR="00830DE1" w:rsidRDefault="00830DE1" w:rsidP="00830DE1">
      <w:pPr>
        <w:rPr>
          <w:rFonts w:ascii="Arial" w:hAnsi="Arial" w:cs="Arial"/>
          <w:color w:val="000000"/>
        </w:rPr>
      </w:pPr>
    </w:p>
    <w:p w:rsidR="007276DB" w:rsidRPr="00D21922" w:rsidRDefault="007276DB" w:rsidP="007276DB">
      <w:pPr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66265" w:rsidRDefault="00A66265" w:rsidP="007276DB">
      <w:pPr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4335C0" w:rsidRDefault="004335C0" w:rsidP="007276DB">
      <w:pPr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4335C0" w:rsidRDefault="004335C0" w:rsidP="007276DB">
      <w:pPr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4335C0" w:rsidRDefault="004335C0" w:rsidP="007276DB">
      <w:pPr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4335C0" w:rsidRPr="009E40B6" w:rsidRDefault="004335C0" w:rsidP="004335C0">
      <w:pPr>
        <w:rPr>
          <w:rFonts w:ascii="Arial" w:hAnsi="Arial" w:cs="Arial"/>
          <w:sz w:val="24"/>
          <w:szCs w:val="24"/>
          <w:u w:val="single"/>
        </w:rPr>
      </w:pPr>
      <w:r w:rsidRPr="009E40B6">
        <w:rPr>
          <w:rFonts w:ascii="Arial" w:hAnsi="Arial" w:cs="Arial"/>
          <w:sz w:val="24"/>
          <w:szCs w:val="24"/>
          <w:u w:val="single"/>
        </w:rPr>
        <w:t>Seznam literatury:</w:t>
      </w:r>
    </w:p>
    <w:p w:rsidR="004335C0" w:rsidRPr="00483CCB" w:rsidRDefault="004335C0" w:rsidP="0043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Pracovní list je </w:t>
      </w:r>
      <w:r w:rsidRPr="008D54B6">
        <w:rPr>
          <w:rFonts w:ascii="Arial" w:hAnsi="Arial" w:cs="Arial"/>
        </w:rPr>
        <w:t>autorsky vytvořen přímo pro učební materiál.</w:t>
      </w:r>
    </w:p>
    <w:p w:rsidR="004335C0" w:rsidRDefault="004335C0" w:rsidP="007276DB">
      <w:pPr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7276DB" w:rsidRPr="00D21922" w:rsidRDefault="007276DB" w:rsidP="007276DB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sectPr w:rsidR="007276DB" w:rsidRPr="00D21922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9"/>
    <w:multiLevelType w:val="singleLevel"/>
    <w:tmpl w:val="00000019"/>
    <w:name w:val="WW8Num25"/>
    <w:lvl w:ilvl="0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/>
      </w:rPr>
    </w:lvl>
  </w:abstractNum>
  <w:abstractNum w:abstractNumId="13">
    <w:nsid w:val="0E186FA5"/>
    <w:multiLevelType w:val="hybridMultilevel"/>
    <w:tmpl w:val="727A182C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4"/>
  </w:num>
  <w:num w:numId="5">
    <w:abstractNumId w:val="17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1775C8"/>
    <w:rsid w:val="00207420"/>
    <w:rsid w:val="002731EE"/>
    <w:rsid w:val="00273D3E"/>
    <w:rsid w:val="002F5939"/>
    <w:rsid w:val="003533E2"/>
    <w:rsid w:val="003555CC"/>
    <w:rsid w:val="003730E2"/>
    <w:rsid w:val="003D5788"/>
    <w:rsid w:val="0042540A"/>
    <w:rsid w:val="004335C0"/>
    <w:rsid w:val="00483CCB"/>
    <w:rsid w:val="00501CE5"/>
    <w:rsid w:val="00524917"/>
    <w:rsid w:val="005D44D8"/>
    <w:rsid w:val="0060277E"/>
    <w:rsid w:val="007276DB"/>
    <w:rsid w:val="00771839"/>
    <w:rsid w:val="00796BFF"/>
    <w:rsid w:val="007D787B"/>
    <w:rsid w:val="00830DE1"/>
    <w:rsid w:val="00846FA3"/>
    <w:rsid w:val="0085030E"/>
    <w:rsid w:val="00861AC1"/>
    <w:rsid w:val="00876282"/>
    <w:rsid w:val="008A6B28"/>
    <w:rsid w:val="008C011C"/>
    <w:rsid w:val="009B2E0C"/>
    <w:rsid w:val="009B3C83"/>
    <w:rsid w:val="00A34AB1"/>
    <w:rsid w:val="00A4293F"/>
    <w:rsid w:val="00A66265"/>
    <w:rsid w:val="00A93C69"/>
    <w:rsid w:val="00AB4318"/>
    <w:rsid w:val="00AB5670"/>
    <w:rsid w:val="00AD5E27"/>
    <w:rsid w:val="00BB5F2E"/>
    <w:rsid w:val="00BB7705"/>
    <w:rsid w:val="00BC646E"/>
    <w:rsid w:val="00C27BC2"/>
    <w:rsid w:val="00C84B99"/>
    <w:rsid w:val="00CA749B"/>
    <w:rsid w:val="00CC5F84"/>
    <w:rsid w:val="00CE6901"/>
    <w:rsid w:val="00D00080"/>
    <w:rsid w:val="00DD0750"/>
    <w:rsid w:val="00DE3C65"/>
    <w:rsid w:val="00E41A8B"/>
    <w:rsid w:val="00EE1D59"/>
    <w:rsid w:val="00F52F7F"/>
    <w:rsid w:val="00F7030B"/>
    <w:rsid w:val="00F83257"/>
    <w:rsid w:val="00FB184D"/>
    <w:rsid w:val="00FC7ED1"/>
    <w:rsid w:val="00FD1C7D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0DE1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unhideWhenUsed/>
    <w:qFormat/>
    <w:rsid w:val="007276DB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character" w:customStyle="1" w:styleId="Nadpis5Char">
    <w:name w:val="Nadpis 5 Char"/>
    <w:basedOn w:val="Standardnpsmoodstavce"/>
    <w:link w:val="Nadpis5"/>
    <w:rsid w:val="007276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7276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276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0D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11</cp:revision>
  <cp:lastPrinted>2012-04-25T10:17:00Z</cp:lastPrinted>
  <dcterms:created xsi:type="dcterms:W3CDTF">2012-04-25T10:19:00Z</dcterms:created>
  <dcterms:modified xsi:type="dcterms:W3CDTF">2012-08-22T18:22:00Z</dcterms:modified>
</cp:coreProperties>
</file>