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59" w:rsidRPr="00E70F7C" w:rsidRDefault="00227959" w:rsidP="00227959">
      <w:pPr>
        <w:rPr>
          <w:rFonts w:ascii="Arial" w:hAnsi="Arial" w:cs="Arial"/>
          <w:sz w:val="24"/>
          <w:szCs w:val="24"/>
        </w:rPr>
      </w:pPr>
    </w:p>
    <w:p w:rsidR="00227959" w:rsidRPr="00E70F7C" w:rsidRDefault="00227959" w:rsidP="0022795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227959" w:rsidRPr="00E70F7C" w:rsidRDefault="00227959" w:rsidP="0022795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227959" w:rsidRPr="00E70F7C" w:rsidRDefault="00227959" w:rsidP="0022795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18. 4. 2012</w:t>
      </w:r>
    </w:p>
    <w:p w:rsidR="00227959" w:rsidRPr="003203EF" w:rsidRDefault="00227959" w:rsidP="00227959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110439">
        <w:rPr>
          <w:rFonts w:ascii="Arial" w:eastAsia="Times New Roman" w:hAnsi="Arial" w:cs="Arial"/>
          <w:color w:val="000000"/>
          <w:lang w:eastAsia="cs-CZ"/>
        </w:rPr>
        <w:t xml:space="preserve"> 2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11043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203EF">
        <w:rPr>
          <w:rFonts w:ascii="Arial" w:eastAsia="Times New Roman" w:hAnsi="Arial" w:cs="Arial"/>
          <w:color w:val="000000"/>
          <w:lang w:eastAsia="cs-CZ"/>
        </w:rPr>
        <w:t>3</w:t>
      </w:r>
    </w:p>
    <w:p w:rsidR="00227959" w:rsidRPr="00E70F7C" w:rsidRDefault="00227959" w:rsidP="0022795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227959" w:rsidRPr="009A222E" w:rsidRDefault="00227959" w:rsidP="00227959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9A222E" w:rsidRPr="009A222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globální a uživatelské nastavení  - pracovní list</w:t>
      </w:r>
    </w:p>
    <w:p w:rsidR="009A222E" w:rsidRDefault="00227959" w:rsidP="009A222E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>Anotace</w:t>
      </w:r>
      <w:r w:rsidR="009A222E">
        <w:rPr>
          <w:rStyle w:val="datalabel"/>
          <w:rFonts w:ascii="Arial" w:hAnsi="Arial" w:cs="Arial"/>
          <w:sz w:val="24"/>
          <w:szCs w:val="24"/>
        </w:rPr>
        <w:tab/>
        <w:t xml:space="preserve">   V této kapitole je vysvětleno, jakým způsobem nastavit parametry           </w:t>
      </w:r>
      <w:r w:rsidR="009A222E">
        <w:rPr>
          <w:rStyle w:val="datalabel"/>
          <w:rFonts w:ascii="Arial" w:hAnsi="Arial" w:cs="Arial"/>
          <w:sz w:val="24"/>
          <w:szCs w:val="24"/>
        </w:rPr>
        <w:tab/>
      </w:r>
      <w:r w:rsidR="009A222E">
        <w:rPr>
          <w:rStyle w:val="datalabel"/>
          <w:rFonts w:ascii="Arial" w:hAnsi="Arial" w:cs="Arial"/>
          <w:sz w:val="24"/>
          <w:szCs w:val="24"/>
        </w:rPr>
        <w:tab/>
        <w:t xml:space="preserve">   dané firmy – např. plátce DPH, parametry účtování pokladny a </w:t>
      </w:r>
    </w:p>
    <w:p w:rsidR="00227959" w:rsidRDefault="009A222E" w:rsidP="009A222E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                       B.Ú., apod.</w:t>
      </w:r>
      <w:r w:rsidR="00C625E9">
        <w:rPr>
          <w:rStyle w:val="datalabel"/>
          <w:rFonts w:ascii="Arial" w:hAnsi="Arial" w:cs="Arial"/>
          <w:sz w:val="24"/>
          <w:szCs w:val="24"/>
        </w:rPr>
        <w:t>.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227959" w:rsidRPr="00E70F7C">
        <w:rPr>
          <w:rFonts w:ascii="Arial" w:hAnsi="Arial" w:cs="Arial"/>
          <w:sz w:val="24"/>
          <w:szCs w:val="24"/>
        </w:rPr>
        <w:br w:type="page"/>
      </w:r>
    </w:p>
    <w:p w:rsidR="00576E36" w:rsidRPr="00EA4971" w:rsidRDefault="00576E36" w:rsidP="00576E36">
      <w:pPr>
        <w:pStyle w:val="Odstavecseseznamem"/>
        <w:ind w:left="761"/>
        <w:jc w:val="both"/>
        <w:rPr>
          <w:b/>
          <w:sz w:val="28"/>
          <w:szCs w:val="28"/>
          <w:u w:val="single"/>
        </w:rPr>
      </w:pPr>
      <w:r w:rsidRPr="00EA4971">
        <w:rPr>
          <w:b/>
          <w:sz w:val="28"/>
          <w:szCs w:val="28"/>
          <w:u w:val="single"/>
        </w:rPr>
        <w:lastRenderedPageBreak/>
        <w:t>Nastavení</w:t>
      </w:r>
    </w:p>
    <w:p w:rsidR="00576E36" w:rsidRDefault="00576E36" w:rsidP="00576E36">
      <w:pPr>
        <w:pStyle w:val="Odstavecseseznamem"/>
        <w:ind w:left="761"/>
        <w:jc w:val="both"/>
        <w:rPr>
          <w:b/>
          <w:u w:val="single"/>
        </w:rPr>
      </w:pPr>
    </w:p>
    <w:p w:rsidR="00576E36" w:rsidRPr="00934BB0" w:rsidRDefault="00576E36" w:rsidP="00576E36">
      <w:pPr>
        <w:pStyle w:val="Odstavecseseznamem"/>
        <w:numPr>
          <w:ilvl w:val="0"/>
          <w:numId w:val="2"/>
        </w:numPr>
        <w:jc w:val="both"/>
        <w:rPr>
          <w:b/>
          <w:u w:val="single"/>
        </w:rPr>
      </w:pPr>
      <w:r w:rsidRPr="00EA4971">
        <w:rPr>
          <w:b/>
          <w:sz w:val="26"/>
          <w:szCs w:val="26"/>
          <w:u w:val="single"/>
        </w:rPr>
        <w:t>Globální nastavení</w:t>
      </w:r>
      <w:r>
        <w:rPr>
          <w:b/>
        </w:rPr>
        <w:t xml:space="preserve"> – nastavení v této sekci je společné pro všechny uživatele. Lze nastavit podle seznamu v této sekci – patří zde </w:t>
      </w:r>
      <w:proofErr w:type="spellStart"/>
      <w:r>
        <w:rPr>
          <w:b/>
        </w:rPr>
        <w:t>např</w:t>
      </w:r>
      <w:proofErr w:type="spellEnd"/>
      <w:r>
        <w:rPr>
          <w:b/>
        </w:rPr>
        <w:t xml:space="preserve"> 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 nastavení loga,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 cizí měny,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 texty týkající se nastavení likvidací závazků a pohledávek,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 sklady,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 mzdy,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  <w:r>
        <w:rPr>
          <w:b/>
        </w:rPr>
        <w:t>-daně – pozor, nezapomeň vždy nastavit, zda firma je plátce nebo           neplátce  DPH.</w:t>
      </w:r>
    </w:p>
    <w:p w:rsidR="00576E36" w:rsidRDefault="00576E36" w:rsidP="00576E36">
      <w:pPr>
        <w:pStyle w:val="Odstavecseseznamem"/>
        <w:ind w:left="1481"/>
        <w:jc w:val="both"/>
        <w:rPr>
          <w:b/>
        </w:rPr>
      </w:pPr>
    </w:p>
    <w:p w:rsidR="00576E36" w:rsidRPr="00E8301E" w:rsidRDefault="00576E36" w:rsidP="00576E36">
      <w:pPr>
        <w:pStyle w:val="Odstavecseseznamem"/>
        <w:numPr>
          <w:ilvl w:val="0"/>
          <w:numId w:val="2"/>
        </w:numPr>
        <w:jc w:val="both"/>
        <w:rPr>
          <w:b/>
          <w:u w:val="single"/>
        </w:rPr>
      </w:pPr>
      <w:r w:rsidRPr="00EA4971">
        <w:rPr>
          <w:b/>
          <w:sz w:val="26"/>
          <w:szCs w:val="26"/>
          <w:u w:val="single"/>
        </w:rPr>
        <w:t>Uživatelské nastavení</w:t>
      </w:r>
      <w:r>
        <w:rPr>
          <w:b/>
        </w:rPr>
        <w:t xml:space="preserve"> – upřesňují se např. údaje, které nám později usnadní vyplňování dokladů. Nastavuje se zde např.:</w:t>
      </w:r>
    </w:p>
    <w:p w:rsidR="00576E36" w:rsidRPr="00EA4971" w:rsidRDefault="00576E36" w:rsidP="00576E36">
      <w:pPr>
        <w:pStyle w:val="Odstavecseseznamem"/>
        <w:ind w:left="1481"/>
        <w:jc w:val="both"/>
        <w:rPr>
          <w:b/>
          <w:sz w:val="26"/>
          <w:szCs w:val="26"/>
          <w:u w:val="single"/>
        </w:rPr>
      </w:pPr>
    </w:p>
    <w:p w:rsidR="00576E36" w:rsidRPr="004B4F05" w:rsidRDefault="00576E36" w:rsidP="00576E3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EA4971">
        <w:rPr>
          <w:b/>
          <w:sz w:val="26"/>
          <w:szCs w:val="26"/>
          <w:u w:val="single"/>
        </w:rPr>
        <w:t>Pokladna</w:t>
      </w:r>
      <w:r>
        <w:rPr>
          <w:b/>
        </w:rPr>
        <w:t xml:space="preserve"> – jednotlivé údaje, které nastavujeme v pokladně:</w:t>
      </w:r>
    </w:p>
    <w:p w:rsidR="00576E36" w:rsidRDefault="00576E36" w:rsidP="00576E36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4B4F05">
        <w:rPr>
          <w:b/>
        </w:rPr>
        <w:t>HP</w:t>
      </w:r>
      <w:r>
        <w:rPr>
          <w:b/>
        </w:rPr>
        <w:t xml:space="preserve"> – hotovostní pokladna – je možné zavést více druhů pokladen,</w:t>
      </w:r>
    </w:p>
    <w:p w:rsidR="00576E36" w:rsidRDefault="00576E36" w:rsidP="00576E36">
      <w:pPr>
        <w:pStyle w:val="Odstavecseseznamem"/>
        <w:ind w:left="2484"/>
        <w:jc w:val="both"/>
        <w:rPr>
          <w:b/>
        </w:rPr>
      </w:pPr>
    </w:p>
    <w:p w:rsidR="00576E36" w:rsidRDefault="00576E36" w:rsidP="00576E36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E8301E">
        <w:rPr>
          <w:b/>
          <w:u w:val="single"/>
        </w:rPr>
        <w:t>Při založení příjmového pokladního dokladu se zadává</w:t>
      </w:r>
      <w:r>
        <w:rPr>
          <w:b/>
        </w:rPr>
        <w:t>:</w:t>
      </w:r>
    </w:p>
    <w:p w:rsidR="00576E36" w:rsidRDefault="00576E36" w:rsidP="00576E36">
      <w:pPr>
        <w:pStyle w:val="Odstavecseseznamem"/>
        <w:ind w:left="2484"/>
        <w:jc w:val="both"/>
        <w:rPr>
          <w:b/>
        </w:rPr>
      </w:pPr>
    </w:p>
    <w:p w:rsidR="00576E36" w:rsidRDefault="00576E36" w:rsidP="00576E36">
      <w:pPr>
        <w:pStyle w:val="Odstavecseseznamem"/>
        <w:ind w:left="2484"/>
        <w:jc w:val="both"/>
        <w:rPr>
          <w:b/>
        </w:rPr>
      </w:pPr>
      <w:r w:rsidRPr="00E8301E">
        <w:rPr>
          <w:b/>
          <w:u w:val="single"/>
        </w:rPr>
        <w:t xml:space="preserve">Předkontace </w:t>
      </w:r>
      <w:r>
        <w:rPr>
          <w:b/>
        </w:rPr>
        <w:t xml:space="preserve">– je dána zkratkou, pomocí znaku „ …“ si můžeme  </w:t>
      </w:r>
    </w:p>
    <w:p w:rsidR="00576E36" w:rsidRDefault="00576E36" w:rsidP="00576E36">
      <w:pPr>
        <w:pStyle w:val="Odstavecseseznamem"/>
        <w:ind w:left="2829"/>
        <w:jc w:val="both"/>
        <w:rPr>
          <w:b/>
        </w:rPr>
      </w:pPr>
      <w:r>
        <w:rPr>
          <w:b/>
        </w:rPr>
        <w:t xml:space="preserve">údaj předkontace </w:t>
      </w:r>
      <w:proofErr w:type="spellStart"/>
      <w:r>
        <w:rPr>
          <w:b/>
        </w:rPr>
        <w:t>rozkliknout</w:t>
      </w:r>
      <w:proofErr w:type="spellEnd"/>
      <w:r>
        <w:rPr>
          <w:b/>
        </w:rPr>
        <w:t xml:space="preserve"> a doplnit o další předkontace, které ve firmě nejčastěji používáme:</w:t>
      </w:r>
    </w:p>
    <w:p w:rsidR="00576E36" w:rsidRDefault="00576E36" w:rsidP="00576E36">
      <w:pPr>
        <w:pStyle w:val="Odstavecseseznamem"/>
        <w:ind w:left="2829"/>
        <w:jc w:val="both"/>
        <w:rPr>
          <w:b/>
        </w:rPr>
      </w:pPr>
    </w:p>
    <w:p w:rsidR="00576E36" w:rsidRDefault="00576E36" w:rsidP="00576E36">
      <w:pPr>
        <w:pStyle w:val="Odstavecseseznamem"/>
        <w:ind w:left="2829"/>
        <w:jc w:val="both"/>
        <w:rPr>
          <w:b/>
        </w:rPr>
      </w:pPr>
      <w:r>
        <w:rPr>
          <w:b/>
        </w:rPr>
        <w:t>zmáčkni tlačítko INSERT, zvol zkratku, text a zadej předkontaci. Nezapomeň uložit.</w:t>
      </w:r>
    </w:p>
    <w:p w:rsidR="00576E36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36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Pozor, všechny účte se zadávají včetně analytického členění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(např. pokladna 211000).</w:t>
      </w:r>
    </w:p>
    <w:p w:rsidR="00576E36" w:rsidRDefault="00576E36" w:rsidP="00576E36">
      <w:pPr>
        <w:ind w:left="2832"/>
        <w:jc w:val="both"/>
        <w:rPr>
          <w:b/>
        </w:rPr>
      </w:pPr>
      <w:r w:rsidRPr="00EA4971">
        <w:rPr>
          <w:b/>
          <w:u w:val="single"/>
        </w:rPr>
        <w:t>Členění DPH</w:t>
      </w:r>
      <w:r>
        <w:rPr>
          <w:b/>
        </w:rPr>
        <w:t xml:space="preserve"> – je dána zkratkou, nejběžněji používané zkratky</w:t>
      </w:r>
      <w:r>
        <w:rPr>
          <w:b/>
        </w:rPr>
        <w:tab/>
        <w:t xml:space="preserve">                       UD – tuzemské plnění (při prodeji - U-uskutečněná plnění),</w:t>
      </w:r>
    </w:p>
    <w:p w:rsidR="00576E36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UN – nezahrnovat do přiznání DPH,</w:t>
      </w:r>
    </w:p>
    <w:p w:rsidR="00576E36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Celý seznam pro DPH lze </w:t>
      </w:r>
      <w:proofErr w:type="spellStart"/>
      <w:r>
        <w:rPr>
          <w:b/>
        </w:rPr>
        <w:t>rozklidnout</w:t>
      </w:r>
      <w:proofErr w:type="spellEnd"/>
      <w:r>
        <w:rPr>
          <w:b/>
        </w:rPr>
        <w:t xml:space="preserve"> pomocí znaku „ … “.</w:t>
      </w:r>
    </w:p>
    <w:p w:rsidR="00576E36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76E36" w:rsidRDefault="00576E36" w:rsidP="00576E36">
      <w:pPr>
        <w:ind w:left="2244"/>
        <w:jc w:val="both"/>
        <w:rPr>
          <w:b/>
        </w:rPr>
      </w:pPr>
      <w:r w:rsidRPr="00747148">
        <w:rPr>
          <w:b/>
          <w:u w:val="single"/>
        </w:rPr>
        <w:t>Text</w:t>
      </w:r>
      <w:r>
        <w:rPr>
          <w:b/>
          <w:u w:val="single"/>
        </w:rPr>
        <w:t xml:space="preserve"> </w:t>
      </w:r>
      <w:r>
        <w:rPr>
          <w:b/>
        </w:rPr>
        <w:t xml:space="preserve"> - např. pokladna příjem – tento text se dále bude objevovat   při vyplňování jednotlivých účetních dokladů, do kterých už jen zapíšeme, za co jsme peníze přijali.  </w:t>
      </w:r>
    </w:p>
    <w:p w:rsidR="00576E36" w:rsidRDefault="00576E36" w:rsidP="00576E36">
      <w:pPr>
        <w:ind w:left="2244"/>
        <w:jc w:val="both"/>
        <w:rPr>
          <w:b/>
        </w:rPr>
      </w:pPr>
    </w:p>
    <w:p w:rsidR="00576E36" w:rsidRPr="00747148" w:rsidRDefault="00576E36" w:rsidP="00576E36">
      <w:pPr>
        <w:ind w:left="2244"/>
        <w:jc w:val="both"/>
        <w:rPr>
          <w:b/>
          <w:u w:val="single"/>
        </w:rPr>
      </w:pPr>
      <w:r>
        <w:rPr>
          <w:b/>
        </w:rPr>
        <w:lastRenderedPageBreak/>
        <w:t xml:space="preserve"> </w:t>
      </w:r>
      <w:r>
        <w:rPr>
          <w:b/>
          <w:u w:val="single"/>
        </w:rPr>
        <w:t xml:space="preserve"> </w:t>
      </w:r>
    </w:p>
    <w:p w:rsidR="00576E36" w:rsidRPr="00747148" w:rsidRDefault="00576E36" w:rsidP="00576E36">
      <w:pPr>
        <w:ind w:left="2124"/>
        <w:jc w:val="both"/>
        <w:rPr>
          <w:b/>
        </w:rPr>
      </w:pPr>
      <w:r w:rsidRPr="00D3433D">
        <w:rPr>
          <w:b/>
          <w:sz w:val="26"/>
          <w:szCs w:val="26"/>
          <w:u w:val="single"/>
        </w:rPr>
        <w:t>Při založení výdajového pokladního dokladu</w:t>
      </w:r>
      <w:r w:rsidRPr="00747148">
        <w:rPr>
          <w:b/>
        </w:rPr>
        <w:t xml:space="preserve"> se zadávají obdobně jako </w:t>
      </w:r>
      <w:r>
        <w:rPr>
          <w:b/>
        </w:rPr>
        <w:t xml:space="preserve"> </w:t>
      </w:r>
      <w:r w:rsidRPr="00747148">
        <w:rPr>
          <w:b/>
        </w:rPr>
        <w:t>u příjmového pokladního dokladu.</w:t>
      </w:r>
    </w:p>
    <w:p w:rsidR="00576E36" w:rsidRDefault="00576E36" w:rsidP="00576E36">
      <w:pPr>
        <w:pStyle w:val="Odstavecseseznamem"/>
        <w:ind w:left="2852"/>
        <w:jc w:val="both"/>
        <w:rPr>
          <w:b/>
        </w:rPr>
      </w:pPr>
    </w:p>
    <w:p w:rsidR="00576E36" w:rsidRPr="00747148" w:rsidRDefault="00576E36" w:rsidP="00576E36">
      <w:pPr>
        <w:jc w:val="both"/>
        <w:rPr>
          <w:b/>
        </w:rPr>
      </w:pPr>
      <w:r>
        <w:rPr>
          <w:b/>
        </w:rPr>
        <w:t xml:space="preserve">                                    </w:t>
      </w:r>
      <w:r w:rsidRPr="00747148">
        <w:rPr>
          <w:b/>
          <w:u w:val="single"/>
        </w:rPr>
        <w:t>Členění DPH</w:t>
      </w:r>
      <w:r w:rsidRPr="00747148">
        <w:rPr>
          <w:b/>
        </w:rPr>
        <w:t xml:space="preserve"> – nejčastěji užívaná zkratka pro </w:t>
      </w:r>
      <w:proofErr w:type="spellStart"/>
      <w:r w:rsidRPr="00747148">
        <w:rPr>
          <w:b/>
        </w:rPr>
        <w:t>výd</w:t>
      </w:r>
      <w:proofErr w:type="spellEnd"/>
      <w:r w:rsidRPr="00747148">
        <w:rPr>
          <w:b/>
        </w:rPr>
        <w:t>. doklad:</w:t>
      </w:r>
    </w:p>
    <w:p w:rsidR="00576E36" w:rsidRPr="00C2328B" w:rsidRDefault="00576E36" w:rsidP="00576E36">
      <w:pPr>
        <w:pStyle w:val="Odstavecseseznamem"/>
        <w:ind w:left="2852"/>
        <w:jc w:val="both"/>
        <w:rPr>
          <w:b/>
        </w:rPr>
      </w:pPr>
      <w:r>
        <w:rPr>
          <w:b/>
        </w:rPr>
        <w:t xml:space="preserve">PD – tuzemské plnění  (při nákupu P – přijatá plnění)  </w:t>
      </w:r>
    </w:p>
    <w:p w:rsidR="00576E36" w:rsidRDefault="00576E36" w:rsidP="00576E36">
      <w:pPr>
        <w:pStyle w:val="Odstavecseseznamem"/>
        <w:ind w:left="2856"/>
        <w:jc w:val="both"/>
        <w:rPr>
          <w:b/>
        </w:rPr>
      </w:pPr>
      <w:r w:rsidRPr="00747148">
        <w:rPr>
          <w:b/>
        </w:rPr>
        <w:t>PN -</w:t>
      </w:r>
      <w:r>
        <w:rPr>
          <w:b/>
        </w:rPr>
        <w:t xml:space="preserve">  nezahrnovat do přiznání DPH.</w:t>
      </w:r>
    </w:p>
    <w:p w:rsidR="00576E36" w:rsidRDefault="00576E36" w:rsidP="00576E36">
      <w:pPr>
        <w:jc w:val="both"/>
        <w:rPr>
          <w:b/>
        </w:rPr>
      </w:pPr>
    </w:p>
    <w:p w:rsidR="00576E36" w:rsidRPr="00747148" w:rsidRDefault="00576E36" w:rsidP="00576E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47148">
        <w:rPr>
          <w:b/>
          <w:u w:val="single"/>
        </w:rPr>
        <w:t>Text</w:t>
      </w:r>
      <w:r>
        <w:rPr>
          <w:b/>
        </w:rPr>
        <w:t xml:space="preserve"> – pokladna výdej</w:t>
      </w:r>
      <w:r>
        <w:rPr>
          <w:b/>
        </w:rPr>
        <w:tab/>
      </w:r>
      <w:r w:rsidRPr="00747148">
        <w:rPr>
          <w:b/>
        </w:rPr>
        <w:t xml:space="preserve"> </w:t>
      </w:r>
    </w:p>
    <w:p w:rsidR="00576E36" w:rsidRDefault="00576E36" w:rsidP="00576E36">
      <w:pPr>
        <w:ind w:left="40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Vše uložit!</w:t>
      </w:r>
    </w:p>
    <w:p w:rsidR="00576E36" w:rsidRDefault="00576E36" w:rsidP="00576E36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D3433D">
        <w:rPr>
          <w:b/>
          <w:sz w:val="26"/>
          <w:szCs w:val="26"/>
          <w:u w:val="single"/>
        </w:rPr>
        <w:t>Banka</w:t>
      </w:r>
      <w:r>
        <w:rPr>
          <w:b/>
          <w:u w:val="single"/>
        </w:rPr>
        <w:t xml:space="preserve"> </w:t>
      </w:r>
      <w:r w:rsidRPr="00C118A8">
        <w:rPr>
          <w:b/>
        </w:rPr>
        <w:t>– zadáme účet</w:t>
      </w:r>
      <w:r>
        <w:rPr>
          <w:b/>
        </w:rPr>
        <w:t xml:space="preserve">, při </w:t>
      </w:r>
      <w:proofErr w:type="spellStart"/>
      <w:r>
        <w:rPr>
          <w:b/>
        </w:rPr>
        <w:t>rozkliknutí</w:t>
      </w:r>
      <w:proofErr w:type="spellEnd"/>
      <w:r>
        <w:rPr>
          <w:b/>
        </w:rPr>
        <w:t xml:space="preserve"> znaku „ …“ doplníme bližší údaje o účtu.</w:t>
      </w:r>
    </w:p>
    <w:p w:rsidR="00576E36" w:rsidRDefault="00576E36" w:rsidP="00576E36">
      <w:pPr>
        <w:ind w:left="1776"/>
        <w:jc w:val="both"/>
        <w:rPr>
          <w:b/>
        </w:rPr>
      </w:pPr>
    </w:p>
    <w:p w:rsidR="00576E36" w:rsidRDefault="00576E36" w:rsidP="00576E36">
      <w:pPr>
        <w:ind w:left="2124"/>
        <w:jc w:val="both"/>
        <w:rPr>
          <w:b/>
        </w:rPr>
      </w:pPr>
      <w:r>
        <w:rPr>
          <w:b/>
        </w:rPr>
        <w:t>Předkontace a text jsou pro bankovní účet stanoveny zvlášť pro příjem na bankovní účet a zvlášť pro výdej z bankovního účtu. Jinak se bankovní účet nastavuje obdobně jako pokladna.</w:t>
      </w:r>
    </w:p>
    <w:p w:rsidR="00576E36" w:rsidRDefault="00576E36" w:rsidP="00576E36">
      <w:pPr>
        <w:jc w:val="both"/>
        <w:rPr>
          <w:b/>
          <w:u w:val="single"/>
        </w:rPr>
      </w:pPr>
    </w:p>
    <w:p w:rsidR="00576E36" w:rsidRPr="00274824" w:rsidRDefault="00576E36" w:rsidP="00576E3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Adresář</w:t>
      </w:r>
    </w:p>
    <w:p w:rsidR="00576E36" w:rsidRDefault="00576E36" w:rsidP="00576E36">
      <w:pPr>
        <w:pStyle w:val="Odstavecseseznamem"/>
        <w:ind w:left="2136"/>
        <w:jc w:val="both"/>
        <w:rPr>
          <w:b/>
        </w:rPr>
      </w:pPr>
      <w:r w:rsidRPr="00274824">
        <w:rPr>
          <w:b/>
        </w:rPr>
        <w:t>Zde zadáváme adresy svých obchodních partnerů.</w:t>
      </w:r>
    </w:p>
    <w:p w:rsidR="00576E36" w:rsidRDefault="00576E36" w:rsidP="00576E36">
      <w:pPr>
        <w:pStyle w:val="Odstavecseseznamem"/>
        <w:ind w:left="2136"/>
        <w:jc w:val="both"/>
        <w:rPr>
          <w:b/>
          <w:u w:val="single"/>
        </w:rPr>
      </w:pPr>
    </w:p>
    <w:p w:rsidR="00576E36" w:rsidRPr="00CF59F1" w:rsidRDefault="00576E36" w:rsidP="00576E3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  <w:u w:val="single"/>
        </w:rPr>
        <w:t>Počáteční stavy účtů</w:t>
      </w:r>
      <w:r w:rsidRPr="00CF59F1">
        <w:rPr>
          <w:b/>
        </w:rPr>
        <w:t xml:space="preserve"> - </w:t>
      </w:r>
      <w:r>
        <w:rPr>
          <w:b/>
        </w:rPr>
        <w:t>Pozor, zadávají se 2 x!</w:t>
      </w:r>
    </w:p>
    <w:p w:rsidR="00576E36" w:rsidRPr="00274824" w:rsidRDefault="00576E36" w:rsidP="00576E36">
      <w:pPr>
        <w:pStyle w:val="Odstavecseseznamem"/>
        <w:ind w:left="2136"/>
        <w:jc w:val="both"/>
        <w:rPr>
          <w:b/>
          <w:u w:val="single"/>
        </w:rPr>
      </w:pPr>
    </w:p>
    <w:p w:rsidR="00576E36" w:rsidRDefault="00576E36" w:rsidP="00576E36">
      <w:pPr>
        <w:ind w:left="2136"/>
        <w:jc w:val="both"/>
        <w:rPr>
          <w:b/>
        </w:rPr>
      </w:pPr>
      <w:r>
        <w:rPr>
          <w:b/>
        </w:rPr>
        <w:t>Při prvním zavedení účetní jednotky do programu musíme ručně zadat zůstatky rozvahových účtů z minulého roku a to souvztažným zápisem k účtu 701 – Počáteční účet rozvažný.</w:t>
      </w:r>
    </w:p>
    <w:p w:rsidR="00576E36" w:rsidRDefault="00576E36" w:rsidP="00576E36">
      <w:pPr>
        <w:ind w:left="2136"/>
        <w:jc w:val="both"/>
        <w:rPr>
          <w:b/>
          <w:i/>
        </w:rPr>
      </w:pPr>
      <w:r>
        <w:rPr>
          <w:b/>
          <w:i/>
        </w:rPr>
        <w:t>Ú</w:t>
      </w:r>
      <w:r w:rsidRPr="00CF59F1">
        <w:rPr>
          <w:b/>
          <w:i/>
        </w:rPr>
        <w:t xml:space="preserve">četnictví/Počáteční stavy/Počáteční stavy účtů </w:t>
      </w:r>
      <w:r>
        <w:rPr>
          <w:b/>
          <w:i/>
        </w:rPr>
        <w:t xml:space="preserve"> </w:t>
      </w:r>
    </w:p>
    <w:p w:rsidR="00576E36" w:rsidRDefault="00576E36" w:rsidP="00576E36">
      <w:pPr>
        <w:ind w:left="2136"/>
        <w:jc w:val="both"/>
        <w:rPr>
          <w:b/>
        </w:rPr>
      </w:pPr>
      <w:r>
        <w:rPr>
          <w:b/>
        </w:rPr>
        <w:t>Počáteční stav pokladny a bankovního účtu se musí zadat ještě jednou přímo v agendě Pokladna (Banka). Zde se v čísle dokladu uvede např. text Počátek, aby doklad nebyl zařazen do běžné číselné řady. Do předkontace zapíšeme  Bez – doklad bez zaúčtování, protože zaúčtování počátečního stavu je provedeno v agendě Počáteční stavy účtů.</w:t>
      </w:r>
    </w:p>
    <w:p w:rsidR="00576E36" w:rsidRDefault="00576E36" w:rsidP="00576E36">
      <w:pPr>
        <w:jc w:val="both"/>
        <w:rPr>
          <w:b/>
        </w:rPr>
      </w:pPr>
    </w:p>
    <w:p w:rsidR="00B74A9A" w:rsidRDefault="00B74A9A"/>
    <w:sectPr w:rsidR="00B74A9A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A5" w:rsidRDefault="00F66EA5" w:rsidP="00D136AD">
      <w:pPr>
        <w:spacing w:after="0" w:line="240" w:lineRule="auto"/>
      </w:pPr>
      <w:r>
        <w:separator/>
      </w:r>
    </w:p>
  </w:endnote>
  <w:endnote w:type="continuationSeparator" w:id="0">
    <w:p w:rsidR="00F66EA5" w:rsidRDefault="00F66EA5" w:rsidP="00D1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A5" w:rsidRDefault="00F66EA5" w:rsidP="00D136AD">
      <w:pPr>
        <w:spacing w:after="0" w:line="240" w:lineRule="auto"/>
      </w:pPr>
      <w:r>
        <w:separator/>
      </w:r>
    </w:p>
  </w:footnote>
  <w:footnote w:type="continuationSeparator" w:id="0">
    <w:p w:rsidR="00F66EA5" w:rsidRDefault="00F66EA5" w:rsidP="00D1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hlav"/>
    </w:pPr>
    <w:r w:rsidRPr="00D136AD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3" name="obrázek 2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AD" w:rsidRDefault="00D136A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F23"/>
    <w:multiLevelType w:val="hybridMultilevel"/>
    <w:tmpl w:val="64E8A38E"/>
    <w:lvl w:ilvl="0" w:tplc="6EE261F4">
      <w:numFmt w:val="bullet"/>
      <w:lvlText w:val="-"/>
      <w:lvlJc w:val="left"/>
      <w:pPr>
        <w:ind w:left="2484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C771ED2"/>
    <w:multiLevelType w:val="hybridMultilevel"/>
    <w:tmpl w:val="BD421292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358272AB"/>
    <w:multiLevelType w:val="hybridMultilevel"/>
    <w:tmpl w:val="8326BCD4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3BC5FF5"/>
    <w:multiLevelType w:val="hybridMultilevel"/>
    <w:tmpl w:val="7DE079BC"/>
    <w:lvl w:ilvl="0" w:tplc="04050011">
      <w:start w:val="1"/>
      <w:numFmt w:val="decimal"/>
      <w:lvlText w:val="%1)"/>
      <w:lvlJc w:val="left"/>
      <w:pPr>
        <w:ind w:left="761" w:hanging="360"/>
      </w:pPr>
    </w:lvl>
    <w:lvl w:ilvl="1" w:tplc="04050019" w:tentative="1">
      <w:start w:val="1"/>
      <w:numFmt w:val="lowerLetter"/>
      <w:lvlText w:val="%2."/>
      <w:lvlJc w:val="left"/>
      <w:pPr>
        <w:ind w:left="1481" w:hanging="360"/>
      </w:pPr>
    </w:lvl>
    <w:lvl w:ilvl="2" w:tplc="0405001B" w:tentative="1">
      <w:start w:val="1"/>
      <w:numFmt w:val="lowerRoman"/>
      <w:lvlText w:val="%3."/>
      <w:lvlJc w:val="right"/>
      <w:pPr>
        <w:ind w:left="2201" w:hanging="180"/>
      </w:pPr>
    </w:lvl>
    <w:lvl w:ilvl="3" w:tplc="0405000F" w:tentative="1">
      <w:start w:val="1"/>
      <w:numFmt w:val="decimal"/>
      <w:lvlText w:val="%4."/>
      <w:lvlJc w:val="left"/>
      <w:pPr>
        <w:ind w:left="2921" w:hanging="360"/>
      </w:pPr>
    </w:lvl>
    <w:lvl w:ilvl="4" w:tplc="04050019" w:tentative="1">
      <w:start w:val="1"/>
      <w:numFmt w:val="lowerLetter"/>
      <w:lvlText w:val="%5."/>
      <w:lvlJc w:val="left"/>
      <w:pPr>
        <w:ind w:left="3641" w:hanging="360"/>
      </w:pPr>
    </w:lvl>
    <w:lvl w:ilvl="5" w:tplc="0405001B" w:tentative="1">
      <w:start w:val="1"/>
      <w:numFmt w:val="lowerRoman"/>
      <w:lvlText w:val="%6."/>
      <w:lvlJc w:val="right"/>
      <w:pPr>
        <w:ind w:left="4361" w:hanging="180"/>
      </w:pPr>
    </w:lvl>
    <w:lvl w:ilvl="6" w:tplc="0405000F" w:tentative="1">
      <w:start w:val="1"/>
      <w:numFmt w:val="decimal"/>
      <w:lvlText w:val="%7."/>
      <w:lvlJc w:val="left"/>
      <w:pPr>
        <w:ind w:left="5081" w:hanging="360"/>
      </w:pPr>
    </w:lvl>
    <w:lvl w:ilvl="7" w:tplc="04050019" w:tentative="1">
      <w:start w:val="1"/>
      <w:numFmt w:val="lowerLetter"/>
      <w:lvlText w:val="%8."/>
      <w:lvlJc w:val="left"/>
      <w:pPr>
        <w:ind w:left="5801" w:hanging="360"/>
      </w:pPr>
    </w:lvl>
    <w:lvl w:ilvl="8" w:tplc="0405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59"/>
    <w:rsid w:val="000422AE"/>
    <w:rsid w:val="00102116"/>
    <w:rsid w:val="00110439"/>
    <w:rsid w:val="00227959"/>
    <w:rsid w:val="00241818"/>
    <w:rsid w:val="003B4225"/>
    <w:rsid w:val="00576E36"/>
    <w:rsid w:val="006D6C0E"/>
    <w:rsid w:val="007156F1"/>
    <w:rsid w:val="008F247E"/>
    <w:rsid w:val="0092014B"/>
    <w:rsid w:val="009A222E"/>
    <w:rsid w:val="00A1724A"/>
    <w:rsid w:val="00A73F11"/>
    <w:rsid w:val="00A77257"/>
    <w:rsid w:val="00AC574F"/>
    <w:rsid w:val="00B74A9A"/>
    <w:rsid w:val="00B74C91"/>
    <w:rsid w:val="00C625E9"/>
    <w:rsid w:val="00D136AD"/>
    <w:rsid w:val="00E00067"/>
    <w:rsid w:val="00E43DCC"/>
    <w:rsid w:val="00E754C0"/>
    <w:rsid w:val="00F66EA5"/>
    <w:rsid w:val="00F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95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227959"/>
  </w:style>
  <w:style w:type="paragraph" w:styleId="Textbubliny">
    <w:name w:val="Balloon Text"/>
    <w:basedOn w:val="Normln"/>
    <w:link w:val="TextbublinyChar"/>
    <w:uiPriority w:val="99"/>
    <w:semiHidden/>
    <w:unhideWhenUsed/>
    <w:rsid w:val="002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95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136AD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D1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136AD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dcterms:created xsi:type="dcterms:W3CDTF">2012-04-23T17:33:00Z</dcterms:created>
  <dcterms:modified xsi:type="dcterms:W3CDTF">2012-04-26T10:14:00Z</dcterms:modified>
</cp:coreProperties>
</file>